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FE9" w:rsidRPr="00AE0FE9" w:rsidRDefault="00AE0FE9" w:rsidP="00AE0FE9">
      <w:pPr>
        <w:spacing w:before="676" w:after="326" w:line="240" w:lineRule="auto"/>
        <w:jc w:val="center"/>
        <w:rPr>
          <w:rFonts w:ascii="Times New Roman" w:eastAsia="Times New Roman" w:hAnsi="Times New Roman" w:cs="Times New Roman"/>
          <w:b/>
          <w:bCs/>
          <w:color w:val="000000"/>
          <w:sz w:val="42"/>
          <w:szCs w:val="42"/>
          <w:lang w:val="en-US"/>
        </w:rPr>
      </w:pPr>
      <w:r w:rsidRPr="00AE0FE9">
        <w:rPr>
          <w:rFonts w:ascii="Times New Roman" w:eastAsia="Times New Roman" w:hAnsi="Times New Roman" w:cs="Times New Roman"/>
          <w:b/>
          <w:bCs/>
          <w:color w:val="000000"/>
          <w:sz w:val="42"/>
          <w:szCs w:val="42"/>
          <w:lang w:val="en-US"/>
        </w:rPr>
        <w:t>The Single European Act</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 </w:t>
      </w:r>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lang w:val="en-US"/>
        </w:rPr>
      </w:pPr>
      <w:r w:rsidRPr="00AE0FE9">
        <w:rPr>
          <w:rFonts w:ascii="Times New Roman" w:eastAsia="Times New Roman" w:hAnsi="Times New Roman" w:cs="Times New Roman"/>
          <w:b/>
          <w:bCs/>
          <w:color w:val="000000"/>
          <w:sz w:val="27"/>
          <w:szCs w:val="27"/>
          <w:lang w:val="en-US"/>
        </w:rPr>
        <w:t>SUMMARY OF:</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lang w:val="en-US"/>
        </w:rPr>
      </w:pPr>
      <w:hyperlink r:id="rId5" w:history="1">
        <w:r w:rsidRPr="00AE0FE9">
          <w:rPr>
            <w:rFonts w:ascii="Times New Roman" w:eastAsia="Times New Roman" w:hAnsi="Times New Roman" w:cs="Times New Roman"/>
            <w:color w:val="0000FF"/>
            <w:sz w:val="27"/>
            <w:u w:val="single"/>
            <w:lang w:val="en-US"/>
          </w:rPr>
          <w:t>Single European Act</w:t>
        </w:r>
      </w:hyperlink>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lang w:val="en-US"/>
        </w:rPr>
      </w:pPr>
      <w:r w:rsidRPr="00AE0FE9">
        <w:rPr>
          <w:rFonts w:ascii="Times New Roman" w:eastAsia="Times New Roman" w:hAnsi="Times New Roman" w:cs="Times New Roman"/>
          <w:b/>
          <w:bCs/>
          <w:color w:val="000000"/>
          <w:sz w:val="27"/>
          <w:szCs w:val="27"/>
          <w:lang w:val="en-US"/>
        </w:rPr>
        <w:t>WHAT IS THE AIM OF THE ACT?</w:t>
      </w:r>
    </w:p>
    <w:p w:rsidR="00AE0FE9" w:rsidRPr="00AE0FE9" w:rsidRDefault="00AE0FE9" w:rsidP="00AE0FE9">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Single European Act (SEA) sought to revise the Treaties of Rome setting up the </w:t>
      </w:r>
      <w:hyperlink r:id="rId6" w:history="1">
        <w:r w:rsidRPr="00AE0FE9">
          <w:rPr>
            <w:rFonts w:ascii="Times New Roman" w:eastAsia="Times New Roman" w:hAnsi="Times New Roman" w:cs="Times New Roman"/>
            <w:color w:val="0000FF"/>
            <w:sz w:val="27"/>
            <w:u w:val="single"/>
            <w:lang w:val="en-US"/>
          </w:rPr>
          <w:t>European Economic Community (EEC)</w:t>
        </w:r>
      </w:hyperlink>
      <w:r w:rsidRPr="00AE0FE9">
        <w:rPr>
          <w:rFonts w:ascii="Times New Roman" w:eastAsia="Times New Roman" w:hAnsi="Times New Roman" w:cs="Times New Roman"/>
          <w:color w:val="000000"/>
          <w:sz w:val="27"/>
          <w:szCs w:val="27"/>
          <w:lang w:val="en-US"/>
        </w:rPr>
        <w:t> and the </w:t>
      </w:r>
      <w:hyperlink r:id="rId7" w:history="1">
        <w:r w:rsidRPr="00AE0FE9">
          <w:rPr>
            <w:rFonts w:ascii="Times New Roman" w:eastAsia="Times New Roman" w:hAnsi="Times New Roman" w:cs="Times New Roman"/>
            <w:color w:val="0000FF"/>
            <w:sz w:val="27"/>
            <w:u w:val="single"/>
            <w:lang w:val="en-US"/>
          </w:rPr>
          <w:t>European Atomic Energy Community</w:t>
        </w:r>
      </w:hyperlink>
      <w:r w:rsidRPr="00AE0FE9">
        <w:rPr>
          <w:rFonts w:ascii="Times New Roman" w:eastAsia="Times New Roman" w:hAnsi="Times New Roman" w:cs="Times New Roman"/>
          <w:color w:val="000000"/>
          <w:sz w:val="27"/>
          <w:szCs w:val="27"/>
          <w:lang w:val="en-US"/>
        </w:rPr>
        <w:t>.</w:t>
      </w:r>
    </w:p>
    <w:p w:rsidR="00AE0FE9" w:rsidRPr="00AE0FE9" w:rsidRDefault="00AE0FE9" w:rsidP="00AE0FE9">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This was in order to add new momentum to European integration and to </w:t>
      </w:r>
      <w:hyperlink r:id="rId8" w:history="1">
        <w:r w:rsidRPr="00AE0FE9">
          <w:rPr>
            <w:rFonts w:ascii="Times New Roman" w:eastAsia="Times New Roman" w:hAnsi="Times New Roman" w:cs="Times New Roman"/>
            <w:color w:val="0000FF"/>
            <w:sz w:val="27"/>
            <w:u w:val="single"/>
            <w:lang w:val="en-US"/>
          </w:rPr>
          <w:t>complete the internal market</w:t>
        </w:r>
      </w:hyperlink>
      <w:r w:rsidRPr="00AE0FE9">
        <w:rPr>
          <w:rFonts w:ascii="Times New Roman" w:eastAsia="Times New Roman" w:hAnsi="Times New Roman" w:cs="Times New Roman"/>
          <w:color w:val="000000"/>
          <w:sz w:val="27"/>
          <w:szCs w:val="27"/>
          <w:lang w:val="en-US"/>
        </w:rPr>
        <w:t> (an area with no internal borders and in which there is free movement of goods, persons, services and capital) by 1 January 1993.</w:t>
      </w:r>
    </w:p>
    <w:p w:rsidR="00AE0FE9" w:rsidRPr="00AE0FE9" w:rsidRDefault="00AE0FE9" w:rsidP="00AE0FE9">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SEA amended the rules governing the operation of the European institutions and expanded the powers of the then European Community in a number of policy areas.</w:t>
      </w:r>
    </w:p>
    <w:p w:rsidR="00AE0FE9" w:rsidRPr="00AE0FE9" w:rsidRDefault="00AE0FE9" w:rsidP="00AE0FE9">
      <w:pPr>
        <w:numPr>
          <w:ilvl w:val="0"/>
          <w:numId w:val="1"/>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By creating new Community competencies and reforming the institutions, the SEA opened the way to further political integration and </w:t>
      </w:r>
      <w:hyperlink r:id="rId9" w:history="1">
        <w:r w:rsidRPr="00AE0FE9">
          <w:rPr>
            <w:rFonts w:ascii="Times New Roman" w:eastAsia="Times New Roman" w:hAnsi="Times New Roman" w:cs="Times New Roman"/>
            <w:color w:val="0000FF"/>
            <w:sz w:val="27"/>
            <w:u w:val="single"/>
            <w:lang w:val="en-US"/>
          </w:rPr>
          <w:t>economic and monetary union</w:t>
        </w:r>
      </w:hyperlink>
      <w:r w:rsidRPr="00AE0FE9">
        <w:rPr>
          <w:rFonts w:ascii="Times New Roman" w:eastAsia="Times New Roman" w:hAnsi="Times New Roman" w:cs="Times New Roman"/>
          <w:color w:val="000000"/>
          <w:sz w:val="27"/>
          <w:szCs w:val="27"/>
          <w:lang w:val="en-US"/>
        </w:rPr>
        <w:t> that would be enshrined in the Treaty on European Union (the </w:t>
      </w:r>
      <w:hyperlink r:id="rId10" w:history="1">
        <w:r w:rsidRPr="00AE0FE9">
          <w:rPr>
            <w:rFonts w:ascii="Times New Roman" w:eastAsia="Times New Roman" w:hAnsi="Times New Roman" w:cs="Times New Roman"/>
            <w:color w:val="0000FF"/>
            <w:sz w:val="27"/>
            <w:u w:val="single"/>
            <w:lang w:val="en-US"/>
          </w:rPr>
          <w:t>Maastricht Treaty</w:t>
        </w:r>
      </w:hyperlink>
      <w:r w:rsidRPr="00AE0FE9">
        <w:rPr>
          <w:rFonts w:ascii="Times New Roman" w:eastAsia="Times New Roman" w:hAnsi="Times New Roman" w:cs="Times New Roman"/>
          <w:color w:val="000000"/>
          <w:sz w:val="27"/>
          <w:szCs w:val="27"/>
          <w:lang w:val="en-US"/>
        </w:rPr>
        <w:t>).</w:t>
      </w:r>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rPr>
      </w:pPr>
      <w:r w:rsidRPr="00AE0FE9">
        <w:rPr>
          <w:rFonts w:ascii="Times New Roman" w:eastAsia="Times New Roman" w:hAnsi="Times New Roman" w:cs="Times New Roman"/>
          <w:b/>
          <w:bCs/>
          <w:color w:val="000000"/>
          <w:sz w:val="27"/>
          <w:szCs w:val="27"/>
        </w:rPr>
        <w:t>KEY POINTS</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rPr>
      </w:pPr>
      <w:r w:rsidRPr="00AE0FE9">
        <w:rPr>
          <w:rFonts w:ascii="Times New Roman" w:eastAsia="Times New Roman" w:hAnsi="Times New Roman" w:cs="Times New Roman"/>
          <w:b/>
          <w:bCs/>
          <w:color w:val="000000"/>
          <w:sz w:val="27"/>
        </w:rPr>
        <w:t>Objectives</w:t>
      </w:r>
    </w:p>
    <w:p w:rsidR="00AE0FE9" w:rsidRPr="00AE0FE9" w:rsidRDefault="00AE0FE9" w:rsidP="00AE0FE9">
      <w:pPr>
        <w:numPr>
          <w:ilvl w:val="0"/>
          <w:numId w:val="2"/>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inter-governmental negotiations which culminated in the SEA had a dual mandate to conclude:</w:t>
      </w:r>
    </w:p>
    <w:p w:rsidR="00AE0FE9" w:rsidRPr="00AE0FE9" w:rsidRDefault="00AE0FE9" w:rsidP="00AE0FE9">
      <w:pPr>
        <w:numPr>
          <w:ilvl w:val="1"/>
          <w:numId w:val="2"/>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a Treaty relating to </w:t>
      </w:r>
      <w:hyperlink r:id="rId11" w:history="1">
        <w:r w:rsidRPr="00AE0FE9">
          <w:rPr>
            <w:rFonts w:ascii="Times New Roman" w:eastAsia="Times New Roman" w:hAnsi="Times New Roman" w:cs="Times New Roman"/>
            <w:color w:val="0000FF"/>
            <w:sz w:val="27"/>
            <w:u w:val="single"/>
            <w:lang w:val="en-US"/>
          </w:rPr>
          <w:t>common foreign and security policy</w:t>
        </w:r>
      </w:hyperlink>
      <w:r w:rsidRPr="00AE0FE9">
        <w:rPr>
          <w:rFonts w:ascii="Times New Roman" w:eastAsia="Times New Roman" w:hAnsi="Times New Roman" w:cs="Times New Roman"/>
          <w:color w:val="000000"/>
          <w:sz w:val="27"/>
          <w:szCs w:val="27"/>
          <w:lang w:val="en-US"/>
        </w:rPr>
        <w:t>, and</w:t>
      </w:r>
    </w:p>
    <w:p w:rsidR="00AE0FE9" w:rsidRPr="00AE0FE9" w:rsidRDefault="00AE0FE9" w:rsidP="00AE0FE9">
      <w:pPr>
        <w:numPr>
          <w:ilvl w:val="1"/>
          <w:numId w:val="2"/>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an act amending the EEC Treaty, particularly with regard to:</w:t>
      </w:r>
    </w:p>
    <w:p w:rsidR="00AE0FE9" w:rsidRPr="00AE0FE9" w:rsidRDefault="00AE0FE9" w:rsidP="00AE0FE9">
      <w:pPr>
        <w:numPr>
          <w:ilvl w:val="2"/>
          <w:numId w:val="2"/>
        </w:numPr>
        <w:spacing w:before="240" w:after="240" w:line="240" w:lineRule="auto"/>
        <w:ind w:left="36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decision-making procedure within the Council;</w:t>
      </w:r>
    </w:p>
    <w:p w:rsidR="00AE0FE9" w:rsidRPr="00AE0FE9" w:rsidRDefault="00AE0FE9" w:rsidP="00AE0FE9">
      <w:pPr>
        <w:numPr>
          <w:ilvl w:val="2"/>
          <w:numId w:val="2"/>
        </w:numPr>
        <w:spacing w:before="240" w:after="240" w:line="240" w:lineRule="auto"/>
        <w:ind w:left="36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powers of the </w:t>
      </w:r>
      <w:hyperlink r:id="rId12" w:history="1">
        <w:r w:rsidRPr="00AE0FE9">
          <w:rPr>
            <w:rFonts w:ascii="Times New Roman" w:eastAsia="Times New Roman" w:hAnsi="Times New Roman" w:cs="Times New Roman"/>
            <w:color w:val="0000FF"/>
            <w:sz w:val="27"/>
            <w:u w:val="single"/>
            <w:lang w:val="en-US"/>
          </w:rPr>
          <w:t>European Commission</w:t>
        </w:r>
      </w:hyperlink>
      <w:r w:rsidRPr="00AE0FE9">
        <w:rPr>
          <w:rFonts w:ascii="Times New Roman" w:eastAsia="Times New Roman" w:hAnsi="Times New Roman" w:cs="Times New Roman"/>
          <w:color w:val="000000"/>
          <w:sz w:val="27"/>
          <w:szCs w:val="27"/>
          <w:lang w:val="en-US"/>
        </w:rPr>
        <w:t>;</w:t>
      </w:r>
    </w:p>
    <w:p w:rsidR="00AE0FE9" w:rsidRPr="00AE0FE9" w:rsidRDefault="00AE0FE9" w:rsidP="00AE0FE9">
      <w:pPr>
        <w:numPr>
          <w:ilvl w:val="2"/>
          <w:numId w:val="2"/>
        </w:numPr>
        <w:spacing w:before="240" w:after="240" w:line="240" w:lineRule="auto"/>
        <w:ind w:left="36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powers of the </w:t>
      </w:r>
      <w:hyperlink r:id="rId13" w:history="1">
        <w:r w:rsidRPr="00AE0FE9">
          <w:rPr>
            <w:rFonts w:ascii="Times New Roman" w:eastAsia="Times New Roman" w:hAnsi="Times New Roman" w:cs="Times New Roman"/>
            <w:color w:val="0000FF"/>
            <w:sz w:val="27"/>
            <w:u w:val="single"/>
            <w:lang w:val="en-US"/>
          </w:rPr>
          <w:t>European Parliament</w:t>
        </w:r>
      </w:hyperlink>
      <w:r w:rsidRPr="00AE0FE9">
        <w:rPr>
          <w:rFonts w:ascii="Times New Roman" w:eastAsia="Times New Roman" w:hAnsi="Times New Roman" w:cs="Times New Roman"/>
          <w:color w:val="000000"/>
          <w:sz w:val="27"/>
          <w:szCs w:val="27"/>
          <w:lang w:val="en-US"/>
        </w:rPr>
        <w:t>;</w:t>
      </w:r>
    </w:p>
    <w:p w:rsidR="00AE0FE9" w:rsidRPr="00AE0FE9" w:rsidRDefault="00AE0FE9" w:rsidP="00AE0FE9">
      <w:pPr>
        <w:numPr>
          <w:ilvl w:val="2"/>
          <w:numId w:val="2"/>
        </w:numPr>
        <w:spacing w:before="240" w:after="240" w:line="240" w:lineRule="auto"/>
        <w:ind w:left="36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lastRenderedPageBreak/>
        <w:t>the extension of the European Economic Community and the European Atomic Energy Community's responsibilities.</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rPr>
      </w:pPr>
      <w:r w:rsidRPr="00AE0FE9">
        <w:rPr>
          <w:rFonts w:ascii="Times New Roman" w:eastAsia="Times New Roman" w:hAnsi="Times New Roman" w:cs="Times New Roman"/>
          <w:b/>
          <w:bCs/>
          <w:color w:val="000000"/>
          <w:sz w:val="27"/>
        </w:rPr>
        <w:t>Structure</w:t>
      </w:r>
    </w:p>
    <w:p w:rsidR="00AE0FE9" w:rsidRPr="00AE0FE9" w:rsidRDefault="00AE0FE9" w:rsidP="00AE0FE9">
      <w:pPr>
        <w:numPr>
          <w:ilvl w:val="0"/>
          <w:numId w:val="3"/>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SEA consists of a </w:t>
      </w:r>
      <w:r w:rsidRPr="00AE0FE9">
        <w:rPr>
          <w:rFonts w:ascii="Times New Roman" w:eastAsia="Times New Roman" w:hAnsi="Times New Roman" w:cs="Times New Roman"/>
          <w:b/>
          <w:bCs/>
          <w:color w:val="000000"/>
          <w:sz w:val="27"/>
          <w:lang w:val="en-US"/>
        </w:rPr>
        <w:t>preamble and 4 titles </w:t>
      </w:r>
      <w:r w:rsidRPr="00AE0FE9">
        <w:rPr>
          <w:rFonts w:ascii="Times New Roman" w:eastAsia="Times New Roman" w:hAnsi="Times New Roman" w:cs="Times New Roman"/>
          <w:color w:val="000000"/>
          <w:sz w:val="27"/>
          <w:szCs w:val="27"/>
          <w:lang w:val="en-US"/>
        </w:rPr>
        <w:t>and includes a </w:t>
      </w:r>
      <w:r w:rsidRPr="00AE0FE9">
        <w:rPr>
          <w:rFonts w:ascii="Times New Roman" w:eastAsia="Times New Roman" w:hAnsi="Times New Roman" w:cs="Times New Roman"/>
          <w:b/>
          <w:bCs/>
          <w:color w:val="000000"/>
          <w:sz w:val="27"/>
          <w:lang w:val="en-US"/>
        </w:rPr>
        <w:t>series of declarations</w:t>
      </w:r>
      <w:r w:rsidRPr="00AE0FE9">
        <w:rPr>
          <w:rFonts w:ascii="Times New Roman" w:eastAsia="Times New Roman" w:hAnsi="Times New Roman" w:cs="Times New Roman"/>
          <w:color w:val="000000"/>
          <w:sz w:val="27"/>
          <w:szCs w:val="27"/>
          <w:lang w:val="en-US"/>
        </w:rPr>
        <w:t> adopted by the conference.</w:t>
      </w:r>
    </w:p>
    <w:p w:rsidR="00AE0FE9" w:rsidRPr="00AE0FE9" w:rsidRDefault="00AE0FE9" w:rsidP="00AE0FE9">
      <w:pPr>
        <w:numPr>
          <w:ilvl w:val="0"/>
          <w:numId w:val="3"/>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w:t>
      </w:r>
      <w:r w:rsidRPr="00AE0FE9">
        <w:rPr>
          <w:rFonts w:ascii="Times New Roman" w:eastAsia="Times New Roman" w:hAnsi="Times New Roman" w:cs="Times New Roman"/>
          <w:b/>
          <w:bCs/>
          <w:color w:val="000000"/>
          <w:sz w:val="27"/>
          <w:lang w:val="en-US"/>
        </w:rPr>
        <w:t>preamble</w:t>
      </w:r>
      <w:r w:rsidRPr="00AE0FE9">
        <w:rPr>
          <w:rFonts w:ascii="Times New Roman" w:eastAsia="Times New Roman" w:hAnsi="Times New Roman" w:cs="Times New Roman"/>
          <w:color w:val="000000"/>
          <w:sz w:val="27"/>
          <w:szCs w:val="27"/>
          <w:lang w:val="en-US"/>
        </w:rPr>
        <w:t> states the fundamental goals of the treaty and expresses the signatories’ determination to transform their relations as a whole with a view to creating a European Union. The preamble also establishes the unique character of the act, which brings together the common rules as regards cooperation in the field of foreign policy and the European Communities. Lastly, it focuses on the two objectives of revising the treaties, i.e. ‘to improve the economic and social situation by extending common policies and pursuing new objectives’ and ‘to ensure a smoother functioning of the Communities’.</w:t>
      </w:r>
    </w:p>
    <w:p w:rsidR="00AE0FE9" w:rsidRPr="00AE0FE9" w:rsidRDefault="00AE0FE9" w:rsidP="00AE0FE9">
      <w:pPr>
        <w:numPr>
          <w:ilvl w:val="1"/>
          <w:numId w:val="3"/>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b/>
          <w:bCs/>
          <w:color w:val="000000"/>
          <w:sz w:val="27"/>
          <w:lang w:val="en-US"/>
        </w:rPr>
        <w:t>Title I</w:t>
      </w:r>
      <w:r w:rsidRPr="00AE0FE9">
        <w:rPr>
          <w:rFonts w:ascii="Times New Roman" w:eastAsia="Times New Roman" w:hAnsi="Times New Roman" w:cs="Times New Roman"/>
          <w:color w:val="000000"/>
          <w:sz w:val="27"/>
          <w:szCs w:val="27"/>
          <w:lang w:val="en-US"/>
        </w:rPr>
        <w:t> contains rules common to political cooperation and the European Community.</w:t>
      </w:r>
    </w:p>
    <w:p w:rsidR="00AE0FE9" w:rsidRPr="00AE0FE9" w:rsidRDefault="00AE0FE9" w:rsidP="00AE0FE9">
      <w:pPr>
        <w:numPr>
          <w:ilvl w:val="1"/>
          <w:numId w:val="3"/>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b/>
          <w:bCs/>
          <w:color w:val="000000"/>
          <w:sz w:val="27"/>
          <w:lang w:val="en-US"/>
        </w:rPr>
        <w:t>Title II</w:t>
      </w:r>
      <w:r w:rsidRPr="00AE0FE9">
        <w:rPr>
          <w:rFonts w:ascii="Times New Roman" w:eastAsia="Times New Roman" w:hAnsi="Times New Roman" w:cs="Times New Roman"/>
          <w:color w:val="000000"/>
          <w:sz w:val="27"/>
          <w:szCs w:val="27"/>
          <w:lang w:val="en-US"/>
        </w:rPr>
        <w:t> is devoted to amendments of the treaties establishing the European Communities.</w:t>
      </w:r>
    </w:p>
    <w:p w:rsidR="00AE0FE9" w:rsidRPr="00AE0FE9" w:rsidRDefault="00AE0FE9" w:rsidP="00AE0FE9">
      <w:pPr>
        <w:numPr>
          <w:ilvl w:val="1"/>
          <w:numId w:val="3"/>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b/>
          <w:bCs/>
          <w:color w:val="000000"/>
          <w:sz w:val="27"/>
          <w:lang w:val="en-US"/>
        </w:rPr>
        <w:t>Title III</w:t>
      </w:r>
      <w:r w:rsidRPr="00AE0FE9">
        <w:rPr>
          <w:rFonts w:ascii="Times New Roman" w:eastAsia="Times New Roman" w:hAnsi="Times New Roman" w:cs="Times New Roman"/>
          <w:color w:val="000000"/>
          <w:sz w:val="27"/>
          <w:szCs w:val="27"/>
          <w:lang w:val="en-US"/>
        </w:rPr>
        <w:t> concerns European cooperation in the field of foreign policy.</w:t>
      </w:r>
    </w:p>
    <w:p w:rsidR="00AE0FE9" w:rsidRPr="00AE0FE9" w:rsidRDefault="00AE0FE9" w:rsidP="00AE0FE9">
      <w:pPr>
        <w:numPr>
          <w:ilvl w:val="1"/>
          <w:numId w:val="3"/>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b/>
          <w:bCs/>
          <w:color w:val="000000"/>
          <w:sz w:val="27"/>
          <w:lang w:val="en-US"/>
        </w:rPr>
        <w:t>Title IV</w:t>
      </w:r>
      <w:r w:rsidRPr="00AE0FE9">
        <w:rPr>
          <w:rFonts w:ascii="Times New Roman" w:eastAsia="Times New Roman" w:hAnsi="Times New Roman" w:cs="Times New Roman"/>
          <w:color w:val="000000"/>
          <w:sz w:val="27"/>
          <w:szCs w:val="27"/>
          <w:lang w:val="en-US"/>
        </w:rPr>
        <w:t> concerns general and final rules.</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rPr>
      </w:pPr>
      <w:r w:rsidRPr="00AE0FE9">
        <w:rPr>
          <w:rFonts w:ascii="Times New Roman" w:eastAsia="Times New Roman" w:hAnsi="Times New Roman" w:cs="Times New Roman"/>
          <w:b/>
          <w:bCs/>
          <w:color w:val="000000"/>
          <w:sz w:val="27"/>
        </w:rPr>
        <w:t>Institutional changes</w:t>
      </w:r>
    </w:p>
    <w:p w:rsidR="00AE0FE9" w:rsidRPr="00AE0FE9" w:rsidRDefault="00AE0FE9" w:rsidP="00AE0FE9">
      <w:pPr>
        <w:numPr>
          <w:ilvl w:val="0"/>
          <w:numId w:val="4"/>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To enable the creation of the single market by 1993, the SEA introduced an increased number of cases where the </w:t>
      </w:r>
      <w:r w:rsidRPr="00AE0FE9">
        <w:rPr>
          <w:rFonts w:ascii="Times New Roman" w:eastAsia="Times New Roman" w:hAnsi="Times New Roman" w:cs="Times New Roman"/>
          <w:b/>
          <w:bCs/>
          <w:color w:val="000000"/>
          <w:sz w:val="27"/>
          <w:lang w:val="en-US"/>
        </w:rPr>
        <w:t>Council</w:t>
      </w:r>
      <w:r w:rsidRPr="00AE0FE9">
        <w:rPr>
          <w:rFonts w:ascii="Times New Roman" w:eastAsia="Times New Roman" w:hAnsi="Times New Roman" w:cs="Times New Roman"/>
          <w:color w:val="000000"/>
          <w:sz w:val="27"/>
          <w:szCs w:val="27"/>
          <w:lang w:val="en-US"/>
        </w:rPr>
        <w:t> could take decisions by a </w:t>
      </w:r>
      <w:hyperlink r:id="rId14" w:history="1">
        <w:r w:rsidRPr="00AE0FE9">
          <w:rPr>
            <w:rFonts w:ascii="Times New Roman" w:eastAsia="Times New Roman" w:hAnsi="Times New Roman" w:cs="Times New Roman"/>
            <w:color w:val="0000FF"/>
            <w:sz w:val="27"/>
            <w:u w:val="single"/>
            <w:lang w:val="en-US"/>
          </w:rPr>
          <w:t>qualified majority</w:t>
        </w:r>
      </w:hyperlink>
      <w:r w:rsidRPr="00AE0FE9">
        <w:rPr>
          <w:rFonts w:ascii="Times New Roman" w:eastAsia="Times New Roman" w:hAnsi="Times New Roman" w:cs="Times New Roman"/>
          <w:color w:val="000000"/>
          <w:sz w:val="27"/>
          <w:szCs w:val="27"/>
          <w:lang w:val="en-US"/>
        </w:rPr>
        <w:t> rather than by </w:t>
      </w:r>
      <w:hyperlink r:id="rId15" w:history="1">
        <w:r w:rsidRPr="00AE0FE9">
          <w:rPr>
            <w:rFonts w:ascii="Times New Roman" w:eastAsia="Times New Roman" w:hAnsi="Times New Roman" w:cs="Times New Roman"/>
            <w:color w:val="0000FF"/>
            <w:sz w:val="27"/>
            <w:u w:val="single"/>
            <w:lang w:val="en-US"/>
          </w:rPr>
          <w:t>unanimity</w:t>
        </w:r>
      </w:hyperlink>
      <w:r w:rsidRPr="00AE0FE9">
        <w:rPr>
          <w:rFonts w:ascii="Times New Roman" w:eastAsia="Times New Roman" w:hAnsi="Times New Roman" w:cs="Times New Roman"/>
          <w:color w:val="000000"/>
          <w:sz w:val="27"/>
          <w:szCs w:val="27"/>
          <w:lang w:val="en-US"/>
        </w:rPr>
        <w:t>. This simplified decision-making and meant that the frequent delays inherent to the search for a unanimous agreement among the then 12 member countries could be avoided. Unanimity would no longer be required for laws designed to establish the single market, with the exception of measures concerning </w:t>
      </w:r>
      <w:hyperlink r:id="rId16" w:history="1">
        <w:r w:rsidRPr="00AE0FE9">
          <w:rPr>
            <w:rFonts w:ascii="Times New Roman" w:eastAsia="Times New Roman" w:hAnsi="Times New Roman" w:cs="Times New Roman"/>
            <w:color w:val="0000FF"/>
            <w:sz w:val="27"/>
            <w:u w:val="single"/>
            <w:lang w:val="en-US"/>
          </w:rPr>
          <w:t>taxation</w:t>
        </w:r>
      </w:hyperlink>
      <w:r w:rsidRPr="00AE0FE9">
        <w:rPr>
          <w:rFonts w:ascii="Times New Roman" w:eastAsia="Times New Roman" w:hAnsi="Times New Roman" w:cs="Times New Roman"/>
          <w:color w:val="000000"/>
          <w:sz w:val="27"/>
          <w:szCs w:val="27"/>
          <w:lang w:val="en-US"/>
        </w:rPr>
        <w:t>, the </w:t>
      </w:r>
      <w:hyperlink r:id="rId17" w:history="1">
        <w:r w:rsidRPr="00AE0FE9">
          <w:rPr>
            <w:rFonts w:ascii="Times New Roman" w:eastAsia="Times New Roman" w:hAnsi="Times New Roman" w:cs="Times New Roman"/>
            <w:color w:val="0000FF"/>
            <w:sz w:val="27"/>
            <w:u w:val="single"/>
            <w:lang w:val="en-US"/>
          </w:rPr>
          <w:t>free movement of persons</w:t>
        </w:r>
      </w:hyperlink>
      <w:r w:rsidRPr="00AE0FE9">
        <w:rPr>
          <w:rFonts w:ascii="Times New Roman" w:eastAsia="Times New Roman" w:hAnsi="Times New Roman" w:cs="Times New Roman"/>
          <w:color w:val="000000"/>
          <w:sz w:val="27"/>
          <w:szCs w:val="27"/>
          <w:lang w:val="en-US"/>
        </w:rPr>
        <w:t> and the rights and interests of employed persons.</w:t>
      </w:r>
    </w:p>
    <w:p w:rsidR="00AE0FE9" w:rsidRPr="00AE0FE9" w:rsidRDefault="00AE0FE9" w:rsidP="00AE0FE9">
      <w:pPr>
        <w:numPr>
          <w:ilvl w:val="0"/>
          <w:numId w:val="4"/>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The SEA established the </w:t>
      </w:r>
      <w:hyperlink r:id="rId18" w:history="1">
        <w:r w:rsidRPr="00AE0FE9">
          <w:rPr>
            <w:rFonts w:ascii="Times New Roman" w:eastAsia="Times New Roman" w:hAnsi="Times New Roman" w:cs="Times New Roman"/>
            <w:color w:val="0000FF"/>
            <w:sz w:val="27"/>
            <w:u w:val="single"/>
            <w:lang w:val="en-US"/>
          </w:rPr>
          <w:t>European Council</w:t>
        </w:r>
      </w:hyperlink>
      <w:r w:rsidRPr="00AE0FE9">
        <w:rPr>
          <w:rFonts w:ascii="Times New Roman" w:eastAsia="Times New Roman" w:hAnsi="Times New Roman" w:cs="Times New Roman"/>
          <w:color w:val="000000"/>
          <w:sz w:val="27"/>
          <w:szCs w:val="27"/>
          <w:lang w:val="en-US"/>
        </w:rPr>
        <w:t>, which formalised the conferences or summits of the Heads of State or Government, although the competencies of this body were not specified until later in </w:t>
      </w:r>
      <w:hyperlink r:id="rId19" w:history="1">
        <w:r w:rsidRPr="00AE0FE9">
          <w:rPr>
            <w:rFonts w:ascii="Times New Roman" w:eastAsia="Times New Roman" w:hAnsi="Times New Roman" w:cs="Times New Roman"/>
            <w:color w:val="0000FF"/>
            <w:sz w:val="27"/>
            <w:u w:val="single"/>
            <w:lang w:val="en-US"/>
          </w:rPr>
          <w:t>Article 15 of the Treaty on European Union (TEU)</w:t>
        </w:r>
      </w:hyperlink>
      <w:r w:rsidRPr="00AE0FE9">
        <w:rPr>
          <w:rFonts w:ascii="Times New Roman" w:eastAsia="Times New Roman" w:hAnsi="Times New Roman" w:cs="Times New Roman"/>
          <w:color w:val="000000"/>
          <w:sz w:val="27"/>
          <w:szCs w:val="27"/>
          <w:lang w:val="en-US"/>
        </w:rPr>
        <w:t>.</w:t>
      </w:r>
    </w:p>
    <w:p w:rsidR="00AE0FE9" w:rsidRPr="00AE0FE9" w:rsidRDefault="00AE0FE9" w:rsidP="00AE0FE9">
      <w:pPr>
        <w:numPr>
          <w:ilvl w:val="0"/>
          <w:numId w:val="4"/>
        </w:numPr>
        <w:spacing w:before="240" w:after="240" w:line="240" w:lineRule="auto"/>
        <w:ind w:left="12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b/>
          <w:bCs/>
          <w:color w:val="000000"/>
          <w:sz w:val="27"/>
          <w:lang w:val="en-US"/>
        </w:rPr>
        <w:t>Parliament’s powers</w:t>
      </w:r>
      <w:r w:rsidRPr="00AE0FE9">
        <w:rPr>
          <w:rFonts w:ascii="Times New Roman" w:eastAsia="Times New Roman" w:hAnsi="Times New Roman" w:cs="Times New Roman"/>
          <w:color w:val="000000"/>
          <w:sz w:val="27"/>
          <w:szCs w:val="27"/>
          <w:lang w:val="en-US"/>
        </w:rPr>
        <w:t> were enhanced by including the requirement for its </w:t>
      </w:r>
      <w:r w:rsidRPr="00AE0FE9">
        <w:rPr>
          <w:rFonts w:ascii="Times New Roman" w:eastAsia="Times New Roman" w:hAnsi="Times New Roman" w:cs="Times New Roman"/>
          <w:b/>
          <w:bCs/>
          <w:color w:val="000000"/>
          <w:sz w:val="27"/>
          <w:lang w:val="en-US"/>
        </w:rPr>
        <w:t>assent</w:t>
      </w:r>
      <w:r w:rsidRPr="00AE0FE9">
        <w:rPr>
          <w:rFonts w:ascii="Times New Roman" w:eastAsia="Times New Roman" w:hAnsi="Times New Roman" w:cs="Times New Roman"/>
          <w:color w:val="000000"/>
          <w:sz w:val="27"/>
          <w:szCs w:val="27"/>
          <w:lang w:val="en-US"/>
        </w:rPr>
        <w:t xml:space="preserve"> when concluding enlargement and association agreements. The </w:t>
      </w:r>
      <w:r w:rsidRPr="00AE0FE9">
        <w:rPr>
          <w:rFonts w:ascii="Times New Roman" w:eastAsia="Times New Roman" w:hAnsi="Times New Roman" w:cs="Times New Roman"/>
          <w:color w:val="000000"/>
          <w:sz w:val="27"/>
          <w:szCs w:val="27"/>
          <w:lang w:val="en-US"/>
        </w:rPr>
        <w:lastRenderedPageBreak/>
        <w:t>SEA introduced the </w:t>
      </w:r>
      <w:r w:rsidRPr="00AE0FE9">
        <w:rPr>
          <w:rFonts w:ascii="Times New Roman" w:eastAsia="Times New Roman" w:hAnsi="Times New Roman" w:cs="Times New Roman"/>
          <w:b/>
          <w:bCs/>
          <w:color w:val="000000"/>
          <w:sz w:val="27"/>
          <w:lang w:val="en-US"/>
        </w:rPr>
        <w:t>cooperation procedure</w:t>
      </w:r>
      <w:r w:rsidRPr="00AE0FE9">
        <w:rPr>
          <w:rFonts w:ascii="Times New Roman" w:eastAsia="Times New Roman" w:hAnsi="Times New Roman" w:cs="Times New Roman"/>
          <w:color w:val="000000"/>
          <w:sz w:val="27"/>
          <w:szCs w:val="27"/>
          <w:lang w:val="en-US"/>
        </w:rPr>
        <w:t>, which strengthened the Parliament’s position in interinstitutional dialogue and gave it the possibility of two readings of draft laws proposed under a limited number of legal bases — thus paving the way towards Parliament’s future role as co-legislator with the Council.</w:t>
      </w:r>
    </w:p>
    <w:p w:rsidR="00AE0FE9" w:rsidRPr="00AE0FE9" w:rsidRDefault="00AE0FE9" w:rsidP="00AE0FE9">
      <w:pPr>
        <w:numPr>
          <w:ilvl w:val="0"/>
          <w:numId w:val="4"/>
        </w:numPr>
        <w:spacing w:before="240" w:after="240" w:line="240" w:lineRule="auto"/>
        <w:ind w:left="1200"/>
        <w:rPr>
          <w:rFonts w:ascii="Times New Roman" w:eastAsia="Times New Roman" w:hAnsi="Times New Roman" w:cs="Times New Roman"/>
          <w:color w:val="000000"/>
          <w:sz w:val="27"/>
          <w:szCs w:val="27"/>
        </w:rPr>
      </w:pPr>
      <w:r w:rsidRPr="00AE0FE9">
        <w:rPr>
          <w:rFonts w:ascii="Times New Roman" w:eastAsia="Times New Roman" w:hAnsi="Times New Roman" w:cs="Times New Roman"/>
          <w:color w:val="000000"/>
          <w:sz w:val="27"/>
          <w:szCs w:val="27"/>
          <w:lang w:val="en-US"/>
        </w:rPr>
        <w:t>The SEA clarified certain rules concerning </w:t>
      </w:r>
      <w:r w:rsidRPr="00AE0FE9">
        <w:rPr>
          <w:rFonts w:ascii="Times New Roman" w:eastAsia="Times New Roman" w:hAnsi="Times New Roman" w:cs="Times New Roman"/>
          <w:b/>
          <w:bCs/>
          <w:color w:val="000000"/>
          <w:sz w:val="27"/>
          <w:lang w:val="en-US"/>
        </w:rPr>
        <w:t>implementing powers</w:t>
      </w:r>
      <w:r w:rsidRPr="00AE0FE9">
        <w:rPr>
          <w:rFonts w:ascii="Times New Roman" w:eastAsia="Times New Roman" w:hAnsi="Times New Roman" w:cs="Times New Roman"/>
          <w:color w:val="000000"/>
          <w:sz w:val="27"/>
          <w:szCs w:val="27"/>
          <w:lang w:val="en-US"/>
        </w:rPr>
        <w:t xml:space="preserve">. Article 10 enabled the Council, as a general rule, to give the Commission implementing powers for the rules which the Council laid down. The Council could only reserve the right to exercise directly implementing powers in specific cases. </w:t>
      </w:r>
      <w:r w:rsidRPr="00AE0FE9">
        <w:rPr>
          <w:rFonts w:ascii="Times New Roman" w:eastAsia="Times New Roman" w:hAnsi="Times New Roman" w:cs="Times New Roman"/>
          <w:color w:val="000000"/>
          <w:sz w:val="27"/>
          <w:szCs w:val="27"/>
        </w:rPr>
        <w:t>The SEA also created the foundations for the Court of First Instance (CFI) — now the </w:t>
      </w:r>
      <w:hyperlink r:id="rId20" w:history="1">
        <w:r w:rsidRPr="00AE0FE9">
          <w:rPr>
            <w:rFonts w:ascii="Times New Roman" w:eastAsia="Times New Roman" w:hAnsi="Times New Roman" w:cs="Times New Roman"/>
            <w:color w:val="0000FF"/>
            <w:sz w:val="27"/>
            <w:u w:val="single"/>
          </w:rPr>
          <w:t>General Court</w:t>
        </w:r>
      </w:hyperlink>
      <w:r w:rsidRPr="00AE0FE9">
        <w:rPr>
          <w:rFonts w:ascii="Times New Roman" w:eastAsia="Times New Roman" w:hAnsi="Times New Roman" w:cs="Times New Roman"/>
          <w:color w:val="000000"/>
          <w:sz w:val="27"/>
          <w:szCs w:val="27"/>
        </w:rPr>
        <w:t>.</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rPr>
      </w:pPr>
      <w:r w:rsidRPr="00AE0FE9">
        <w:rPr>
          <w:rFonts w:ascii="Times New Roman" w:eastAsia="Times New Roman" w:hAnsi="Times New Roman" w:cs="Times New Roman"/>
          <w:b/>
          <w:bCs/>
          <w:color w:val="000000"/>
          <w:sz w:val="27"/>
        </w:rPr>
        <w:t>Policy areas</w:t>
      </w:r>
    </w:p>
    <w:p w:rsidR="00AE0FE9" w:rsidRPr="00AE0FE9" w:rsidRDefault="00AE0FE9" w:rsidP="00AE0FE9">
      <w:pPr>
        <w:numPr>
          <w:ilvl w:val="0"/>
          <w:numId w:val="5"/>
        </w:numPr>
        <w:spacing w:before="240" w:after="240" w:line="240" w:lineRule="auto"/>
        <w:ind w:left="1200"/>
        <w:rPr>
          <w:rFonts w:ascii="Times New Roman" w:eastAsia="Times New Roman" w:hAnsi="Times New Roman" w:cs="Times New Roman"/>
          <w:color w:val="000000"/>
          <w:sz w:val="27"/>
          <w:szCs w:val="27"/>
        </w:rPr>
      </w:pPr>
      <w:r w:rsidRPr="00AE0FE9">
        <w:rPr>
          <w:rFonts w:ascii="Times New Roman" w:eastAsia="Times New Roman" w:hAnsi="Times New Roman" w:cs="Times New Roman"/>
          <w:color w:val="000000"/>
          <w:sz w:val="27"/>
          <w:szCs w:val="27"/>
        </w:rPr>
        <w:t>Under the SEA, qualified majority voting became the new norm in </w:t>
      </w:r>
      <w:r w:rsidRPr="00AE0FE9">
        <w:rPr>
          <w:rFonts w:ascii="Times New Roman" w:eastAsia="Times New Roman" w:hAnsi="Times New Roman" w:cs="Times New Roman"/>
          <w:b/>
          <w:bCs/>
          <w:color w:val="000000"/>
          <w:sz w:val="27"/>
        </w:rPr>
        <w:t>four of the existing areas</w:t>
      </w:r>
      <w:r w:rsidRPr="00AE0FE9">
        <w:rPr>
          <w:rFonts w:ascii="Times New Roman" w:eastAsia="Times New Roman" w:hAnsi="Times New Roman" w:cs="Times New Roman"/>
          <w:color w:val="000000"/>
          <w:sz w:val="27"/>
          <w:szCs w:val="27"/>
        </w:rPr>
        <w:t> covered by the treaties:</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r w:rsidRPr="00AE0FE9">
        <w:rPr>
          <w:rFonts w:ascii="Times New Roman" w:eastAsia="Times New Roman" w:hAnsi="Times New Roman" w:cs="Times New Roman"/>
          <w:color w:val="000000"/>
          <w:sz w:val="27"/>
          <w:szCs w:val="27"/>
        </w:rPr>
        <w:t>the </w:t>
      </w:r>
      <w:hyperlink r:id="rId21" w:history="1">
        <w:r w:rsidRPr="00AE0FE9">
          <w:rPr>
            <w:rFonts w:ascii="Times New Roman" w:eastAsia="Times New Roman" w:hAnsi="Times New Roman" w:cs="Times New Roman"/>
            <w:color w:val="0000FF"/>
            <w:sz w:val="27"/>
            <w:u w:val="single"/>
          </w:rPr>
          <w:t>common customs tariff</w:t>
        </w:r>
      </w:hyperlink>
      <w:r w:rsidRPr="00AE0FE9">
        <w:rPr>
          <w:rFonts w:ascii="Times New Roman" w:eastAsia="Times New Roman" w:hAnsi="Times New Roman" w:cs="Times New Roman"/>
          <w:color w:val="000000"/>
          <w:sz w:val="27"/>
          <w:szCs w:val="27"/>
        </w:rPr>
        <w:t>;</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hyperlink r:id="rId22" w:history="1">
        <w:r w:rsidRPr="00AE0FE9">
          <w:rPr>
            <w:rFonts w:ascii="Times New Roman" w:eastAsia="Times New Roman" w:hAnsi="Times New Roman" w:cs="Times New Roman"/>
            <w:color w:val="0000FF"/>
            <w:sz w:val="27"/>
            <w:u w:val="single"/>
          </w:rPr>
          <w:t>free movement of capital</w:t>
        </w:r>
      </w:hyperlink>
      <w:r w:rsidRPr="00AE0FE9">
        <w:rPr>
          <w:rFonts w:ascii="Times New Roman" w:eastAsia="Times New Roman" w:hAnsi="Times New Roman" w:cs="Times New Roman"/>
          <w:color w:val="000000"/>
          <w:sz w:val="27"/>
          <w:szCs w:val="27"/>
        </w:rPr>
        <w:t>;</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r w:rsidRPr="00AE0FE9">
        <w:rPr>
          <w:rFonts w:ascii="Times New Roman" w:eastAsia="Times New Roman" w:hAnsi="Times New Roman" w:cs="Times New Roman"/>
          <w:color w:val="000000"/>
          <w:sz w:val="27"/>
          <w:szCs w:val="27"/>
        </w:rPr>
        <w:t>free movement of services; and</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r w:rsidRPr="00AE0FE9">
        <w:rPr>
          <w:rFonts w:ascii="Times New Roman" w:eastAsia="Times New Roman" w:hAnsi="Times New Roman" w:cs="Times New Roman"/>
          <w:color w:val="000000"/>
          <w:sz w:val="27"/>
          <w:szCs w:val="27"/>
        </w:rPr>
        <w:t>maritime and air transport.</w:t>
      </w:r>
    </w:p>
    <w:p w:rsidR="00AE0FE9" w:rsidRPr="00AE0FE9" w:rsidRDefault="00AE0FE9" w:rsidP="00AE0FE9">
      <w:pPr>
        <w:numPr>
          <w:ilvl w:val="0"/>
          <w:numId w:val="5"/>
        </w:numPr>
        <w:spacing w:before="240" w:after="240" w:line="240" w:lineRule="auto"/>
        <w:ind w:left="1200"/>
        <w:rPr>
          <w:rFonts w:ascii="Times New Roman" w:eastAsia="Times New Roman" w:hAnsi="Times New Roman" w:cs="Times New Roman"/>
          <w:color w:val="000000"/>
          <w:sz w:val="27"/>
          <w:szCs w:val="27"/>
        </w:rPr>
      </w:pPr>
      <w:r w:rsidRPr="00AE0FE9">
        <w:rPr>
          <w:rFonts w:ascii="Times New Roman" w:eastAsia="Times New Roman" w:hAnsi="Times New Roman" w:cs="Times New Roman"/>
          <w:color w:val="000000"/>
          <w:sz w:val="27"/>
          <w:szCs w:val="27"/>
        </w:rPr>
        <w:t>The SEA introduced </w:t>
      </w:r>
      <w:r w:rsidRPr="00AE0FE9">
        <w:rPr>
          <w:rFonts w:ascii="Times New Roman" w:eastAsia="Times New Roman" w:hAnsi="Times New Roman" w:cs="Times New Roman"/>
          <w:b/>
          <w:bCs/>
          <w:color w:val="000000"/>
          <w:sz w:val="27"/>
        </w:rPr>
        <w:t>several new policy areas</w:t>
      </w:r>
      <w:r w:rsidRPr="00AE0FE9">
        <w:rPr>
          <w:rFonts w:ascii="Times New Roman" w:eastAsia="Times New Roman" w:hAnsi="Times New Roman" w:cs="Times New Roman"/>
          <w:color w:val="000000"/>
          <w:sz w:val="27"/>
          <w:szCs w:val="27"/>
        </w:rPr>
        <w:t> in which decisions would be taken by qualified majority. These included:</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hyperlink r:id="rId23" w:history="1">
        <w:r w:rsidRPr="00AE0FE9">
          <w:rPr>
            <w:rFonts w:ascii="Times New Roman" w:eastAsia="Times New Roman" w:hAnsi="Times New Roman" w:cs="Times New Roman"/>
            <w:color w:val="0000FF"/>
            <w:sz w:val="27"/>
            <w:u w:val="single"/>
          </w:rPr>
          <w:t>internal market</w:t>
        </w:r>
      </w:hyperlink>
      <w:r w:rsidRPr="00AE0FE9">
        <w:rPr>
          <w:rFonts w:ascii="Times New Roman" w:eastAsia="Times New Roman" w:hAnsi="Times New Roman" w:cs="Times New Roman"/>
          <w:color w:val="000000"/>
          <w:sz w:val="27"/>
          <w:szCs w:val="27"/>
        </w:rPr>
        <w:t>;</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hyperlink r:id="rId24" w:history="1">
        <w:r w:rsidRPr="00AE0FE9">
          <w:rPr>
            <w:rFonts w:ascii="Times New Roman" w:eastAsia="Times New Roman" w:hAnsi="Times New Roman" w:cs="Times New Roman"/>
            <w:color w:val="0000FF"/>
            <w:sz w:val="27"/>
            <w:u w:val="single"/>
          </w:rPr>
          <w:t>economic and social cohesion</w:t>
        </w:r>
      </w:hyperlink>
      <w:r w:rsidRPr="00AE0FE9">
        <w:rPr>
          <w:rFonts w:ascii="Times New Roman" w:eastAsia="Times New Roman" w:hAnsi="Times New Roman" w:cs="Times New Roman"/>
          <w:color w:val="000000"/>
          <w:sz w:val="27"/>
          <w:szCs w:val="27"/>
        </w:rPr>
        <w:t> — to counterbalance the effects of the completion of the internal market on less developed regions;</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hyperlink r:id="rId25" w:history="1">
        <w:r w:rsidRPr="00AE0FE9">
          <w:rPr>
            <w:rFonts w:ascii="Times New Roman" w:eastAsia="Times New Roman" w:hAnsi="Times New Roman" w:cs="Times New Roman"/>
            <w:color w:val="0000FF"/>
            <w:sz w:val="27"/>
            <w:u w:val="single"/>
          </w:rPr>
          <w:t>social policy</w:t>
        </w:r>
      </w:hyperlink>
      <w:r w:rsidRPr="00AE0FE9">
        <w:rPr>
          <w:rFonts w:ascii="Times New Roman" w:eastAsia="Times New Roman" w:hAnsi="Times New Roman" w:cs="Times New Roman"/>
          <w:color w:val="000000"/>
          <w:sz w:val="27"/>
          <w:szCs w:val="27"/>
        </w:rPr>
        <w:t> — 2 new aspects of this policy, health and safety at work and </w:t>
      </w:r>
      <w:hyperlink r:id="rId26" w:history="1">
        <w:r w:rsidRPr="00AE0FE9">
          <w:rPr>
            <w:rFonts w:ascii="Times New Roman" w:eastAsia="Times New Roman" w:hAnsi="Times New Roman" w:cs="Times New Roman"/>
            <w:color w:val="0000FF"/>
            <w:sz w:val="27"/>
            <w:u w:val="single"/>
          </w:rPr>
          <w:t>social dialogue</w:t>
        </w:r>
      </w:hyperlink>
      <w:r w:rsidRPr="00AE0FE9">
        <w:rPr>
          <w:rFonts w:ascii="Times New Roman" w:eastAsia="Times New Roman" w:hAnsi="Times New Roman" w:cs="Times New Roman"/>
          <w:color w:val="000000"/>
          <w:sz w:val="27"/>
          <w:szCs w:val="27"/>
        </w:rPr>
        <w:t> between trade unions and employers;</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rPr>
      </w:pPr>
      <w:hyperlink r:id="rId27" w:history="1">
        <w:r w:rsidRPr="00AE0FE9">
          <w:rPr>
            <w:rFonts w:ascii="Times New Roman" w:eastAsia="Times New Roman" w:hAnsi="Times New Roman" w:cs="Times New Roman"/>
            <w:color w:val="0000FF"/>
            <w:sz w:val="27"/>
            <w:u w:val="single"/>
          </w:rPr>
          <w:t>research and development</w:t>
        </w:r>
      </w:hyperlink>
      <w:r w:rsidRPr="00AE0FE9">
        <w:rPr>
          <w:rFonts w:ascii="Times New Roman" w:eastAsia="Times New Roman" w:hAnsi="Times New Roman" w:cs="Times New Roman"/>
          <w:color w:val="000000"/>
          <w:sz w:val="27"/>
          <w:szCs w:val="27"/>
        </w:rPr>
        <w:t>;</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lang w:val="en-US"/>
        </w:rPr>
      </w:pPr>
      <w:hyperlink r:id="rId28" w:history="1">
        <w:r w:rsidRPr="00AE0FE9">
          <w:rPr>
            <w:rFonts w:ascii="Times New Roman" w:eastAsia="Times New Roman" w:hAnsi="Times New Roman" w:cs="Times New Roman"/>
            <w:color w:val="0000FF"/>
            <w:sz w:val="27"/>
            <w:u w:val="single"/>
            <w:lang w:val="en-US"/>
          </w:rPr>
          <w:t>environment</w:t>
        </w:r>
      </w:hyperlink>
      <w:r w:rsidRPr="00AE0FE9">
        <w:rPr>
          <w:rFonts w:ascii="Times New Roman" w:eastAsia="Times New Roman" w:hAnsi="Times New Roman" w:cs="Times New Roman"/>
          <w:color w:val="000000"/>
          <w:sz w:val="27"/>
          <w:szCs w:val="27"/>
          <w:lang w:val="en-US"/>
        </w:rPr>
        <w:t> — introducing the </w:t>
      </w:r>
      <w:hyperlink r:id="rId29" w:history="1">
        <w:r w:rsidRPr="00AE0FE9">
          <w:rPr>
            <w:rFonts w:ascii="Times New Roman" w:eastAsia="Times New Roman" w:hAnsi="Times New Roman" w:cs="Times New Roman"/>
            <w:color w:val="0000FF"/>
            <w:sz w:val="27"/>
            <w:u w:val="single"/>
            <w:lang w:val="en-US"/>
          </w:rPr>
          <w:t>subsidiarity principle</w:t>
        </w:r>
      </w:hyperlink>
      <w:r w:rsidRPr="00AE0FE9">
        <w:rPr>
          <w:rFonts w:ascii="Times New Roman" w:eastAsia="Times New Roman" w:hAnsi="Times New Roman" w:cs="Times New Roman"/>
          <w:color w:val="000000"/>
          <w:sz w:val="27"/>
          <w:szCs w:val="27"/>
          <w:lang w:val="en-US"/>
        </w:rPr>
        <w:t> (i.e. only taking measures at European level where they are more effective than at the level of an individual country); and</w:t>
      </w:r>
    </w:p>
    <w:p w:rsidR="00AE0FE9" w:rsidRPr="00AE0FE9" w:rsidRDefault="00AE0FE9" w:rsidP="00AE0FE9">
      <w:pPr>
        <w:numPr>
          <w:ilvl w:val="1"/>
          <w:numId w:val="5"/>
        </w:numPr>
        <w:spacing w:before="240" w:after="240" w:line="240" w:lineRule="auto"/>
        <w:ind w:left="2400"/>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common foreign policy — with the presidency of the Council responsible for initiating action and coordinating member countries’ positions.</w:t>
      </w:r>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lang w:val="en-US"/>
        </w:rPr>
      </w:pPr>
      <w:r w:rsidRPr="00AE0FE9">
        <w:rPr>
          <w:rFonts w:ascii="Times New Roman" w:eastAsia="Times New Roman" w:hAnsi="Times New Roman" w:cs="Times New Roman"/>
          <w:b/>
          <w:bCs/>
          <w:color w:val="000000"/>
          <w:sz w:val="27"/>
          <w:szCs w:val="27"/>
          <w:lang w:val="en-US"/>
        </w:rPr>
        <w:t>FROM WHEN DOES THE ACT APPLY?</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lastRenderedPageBreak/>
        <w:t>The SEA applied on 1 July 1987.</w:t>
      </w:r>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lang w:val="en-US"/>
        </w:rPr>
      </w:pPr>
      <w:r w:rsidRPr="00AE0FE9">
        <w:rPr>
          <w:rFonts w:ascii="Times New Roman" w:eastAsia="Times New Roman" w:hAnsi="Times New Roman" w:cs="Times New Roman"/>
          <w:b/>
          <w:bCs/>
          <w:color w:val="000000"/>
          <w:sz w:val="27"/>
          <w:szCs w:val="27"/>
          <w:lang w:val="en-US"/>
        </w:rPr>
        <w:t>BACKGROUND</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lang w:val="en-US"/>
        </w:rPr>
      </w:pPr>
      <w:hyperlink r:id="rId30" w:history="1">
        <w:r w:rsidRPr="00AE0FE9">
          <w:rPr>
            <w:rFonts w:ascii="Times New Roman" w:eastAsia="Times New Roman" w:hAnsi="Times New Roman" w:cs="Times New Roman"/>
            <w:color w:val="0000FF"/>
            <w:sz w:val="27"/>
            <w:u w:val="single"/>
            <w:lang w:val="en-US"/>
          </w:rPr>
          <w:t>The history of the European Union — 1980-1989</w:t>
        </w:r>
      </w:hyperlink>
      <w:r w:rsidRPr="00AE0FE9">
        <w:rPr>
          <w:rFonts w:ascii="Times New Roman" w:eastAsia="Times New Roman" w:hAnsi="Times New Roman" w:cs="Times New Roman"/>
          <w:color w:val="000000"/>
          <w:sz w:val="27"/>
          <w:szCs w:val="27"/>
          <w:lang w:val="en-US"/>
        </w:rPr>
        <w:t> (</w:t>
      </w:r>
      <w:r w:rsidRPr="00AE0FE9">
        <w:rPr>
          <w:rFonts w:ascii="Times New Roman" w:eastAsia="Times New Roman" w:hAnsi="Times New Roman" w:cs="Times New Roman"/>
          <w:i/>
          <w:iCs/>
          <w:color w:val="000000"/>
          <w:sz w:val="27"/>
          <w:lang w:val="en-US"/>
        </w:rPr>
        <w:t>Europa</w:t>
      </w:r>
      <w:r w:rsidRPr="00AE0FE9">
        <w:rPr>
          <w:rFonts w:ascii="Times New Roman" w:eastAsia="Times New Roman" w:hAnsi="Times New Roman" w:cs="Times New Roman"/>
          <w:color w:val="000000"/>
          <w:sz w:val="27"/>
          <w:szCs w:val="27"/>
          <w:lang w:val="en-US"/>
        </w:rPr>
        <w:t>).</w:t>
      </w:r>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lang w:val="en-US"/>
        </w:rPr>
      </w:pPr>
      <w:r w:rsidRPr="00AE0FE9">
        <w:rPr>
          <w:rFonts w:ascii="Times New Roman" w:eastAsia="Times New Roman" w:hAnsi="Times New Roman" w:cs="Times New Roman"/>
          <w:b/>
          <w:bCs/>
          <w:color w:val="000000"/>
          <w:sz w:val="27"/>
          <w:szCs w:val="27"/>
          <w:lang w:val="en-US"/>
        </w:rPr>
        <w:t>MAIN DOCUMENT</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lang w:val="en-US"/>
        </w:rPr>
      </w:pPr>
      <w:hyperlink r:id="rId31" w:history="1">
        <w:r w:rsidRPr="00AE0FE9">
          <w:rPr>
            <w:rFonts w:ascii="Times New Roman" w:eastAsia="Times New Roman" w:hAnsi="Times New Roman" w:cs="Times New Roman"/>
            <w:color w:val="0000FF"/>
            <w:sz w:val="27"/>
            <w:u w:val="single"/>
            <w:lang w:val="en-US"/>
          </w:rPr>
          <w:t>Single European Act</w:t>
        </w:r>
      </w:hyperlink>
      <w:r w:rsidRPr="00AE0FE9">
        <w:rPr>
          <w:rFonts w:ascii="Times New Roman" w:eastAsia="Times New Roman" w:hAnsi="Times New Roman" w:cs="Times New Roman"/>
          <w:color w:val="000000"/>
          <w:sz w:val="27"/>
          <w:szCs w:val="27"/>
          <w:lang w:val="en-US"/>
        </w:rPr>
        <w:t> (OJ L 169, 29.6.1987, pp. 1-28 (ES, DA, DE, EL, EN, FR, IT, NL, PT))</w:t>
      </w:r>
    </w:p>
    <w:p w:rsidR="00AE0FE9" w:rsidRPr="00AE0FE9" w:rsidRDefault="00AE0FE9" w:rsidP="00AE0FE9">
      <w:pPr>
        <w:spacing w:before="326" w:after="163" w:line="240" w:lineRule="auto"/>
        <w:rPr>
          <w:rFonts w:ascii="Times New Roman" w:eastAsia="Times New Roman" w:hAnsi="Times New Roman" w:cs="Times New Roman"/>
          <w:b/>
          <w:bCs/>
          <w:color w:val="000000"/>
          <w:sz w:val="27"/>
          <w:szCs w:val="27"/>
          <w:lang w:val="en-US"/>
        </w:rPr>
      </w:pPr>
      <w:r w:rsidRPr="00AE0FE9">
        <w:rPr>
          <w:rFonts w:ascii="Times New Roman" w:eastAsia="Times New Roman" w:hAnsi="Times New Roman" w:cs="Times New Roman"/>
          <w:b/>
          <w:bCs/>
          <w:color w:val="000000"/>
          <w:sz w:val="27"/>
          <w:szCs w:val="27"/>
          <w:lang w:val="en-US"/>
        </w:rPr>
        <w:t>RELATED DOCUMENT</w:t>
      </w:r>
    </w:p>
    <w:p w:rsidR="00AE0FE9" w:rsidRPr="00AE0FE9" w:rsidRDefault="00AE0FE9" w:rsidP="00AE0FE9">
      <w:pPr>
        <w:spacing w:before="163" w:after="0" w:line="240" w:lineRule="auto"/>
        <w:jc w:val="both"/>
        <w:rPr>
          <w:rFonts w:ascii="Times New Roman" w:eastAsia="Times New Roman" w:hAnsi="Times New Roman" w:cs="Times New Roman"/>
          <w:color w:val="000000"/>
          <w:sz w:val="27"/>
          <w:szCs w:val="27"/>
          <w:lang w:val="en-US"/>
        </w:rPr>
      </w:pPr>
      <w:r w:rsidRPr="00AE0FE9">
        <w:rPr>
          <w:rFonts w:ascii="Times New Roman" w:eastAsia="Times New Roman" w:hAnsi="Times New Roman" w:cs="Times New Roman"/>
          <w:color w:val="000000"/>
          <w:sz w:val="27"/>
          <w:szCs w:val="27"/>
          <w:lang w:val="en-US"/>
        </w:rPr>
        <w:t>Completing the Internal Market — White Paper from the Commission to the European Council (Milan, 28-29 June 1985) (</w:t>
      </w:r>
      <w:hyperlink r:id="rId32" w:history="1">
        <w:r w:rsidRPr="00AE0FE9">
          <w:rPr>
            <w:rFonts w:ascii="Times New Roman" w:eastAsia="Times New Roman" w:hAnsi="Times New Roman" w:cs="Times New Roman"/>
            <w:color w:val="0000FF"/>
            <w:sz w:val="27"/>
            <w:u w:val="single"/>
            <w:lang w:val="en-US"/>
          </w:rPr>
          <w:t>COM(85) 310 final</w:t>
        </w:r>
      </w:hyperlink>
      <w:r w:rsidRPr="00AE0FE9">
        <w:rPr>
          <w:rFonts w:ascii="Times New Roman" w:eastAsia="Times New Roman" w:hAnsi="Times New Roman" w:cs="Times New Roman"/>
          <w:color w:val="000000"/>
          <w:sz w:val="27"/>
          <w:szCs w:val="27"/>
          <w:lang w:val="en-US"/>
        </w:rPr>
        <w:t>, 14.6.1985)</w:t>
      </w:r>
    </w:p>
    <w:p w:rsidR="00000000" w:rsidRPr="00AE0FE9" w:rsidRDefault="00AE0FE9">
      <w:pPr>
        <w:rPr>
          <w:lang w:val="en-US"/>
        </w:rPr>
      </w:pPr>
    </w:p>
    <w:sectPr w:rsidR="00000000" w:rsidRPr="00AE0FE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2106B"/>
    <w:multiLevelType w:val="multilevel"/>
    <w:tmpl w:val="1C16D2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FB52E8"/>
    <w:multiLevelType w:val="multilevel"/>
    <w:tmpl w:val="8C28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9578E1"/>
    <w:multiLevelType w:val="multilevel"/>
    <w:tmpl w:val="4592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CC70DFC"/>
    <w:multiLevelType w:val="multilevel"/>
    <w:tmpl w:val="46324E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D036111"/>
    <w:multiLevelType w:val="multilevel"/>
    <w:tmpl w:val="0AA81F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283"/>
  <w:characterSpacingControl w:val="doNotCompress"/>
  <w:compat>
    <w:useFELayout/>
  </w:compat>
  <w:rsids>
    <w:rsidRoot w:val="00AE0FE9"/>
    <w:rsid w:val="00AE0FE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main">
    <w:name w:val="ti-main"/>
    <w:basedOn w:val="Normale"/>
    <w:rsid w:val="00AE0F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basedOn w:val="Normale"/>
    <w:rsid w:val="00AE0F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chapter">
    <w:name w:val="ti-chapter"/>
    <w:basedOn w:val="Normale"/>
    <w:rsid w:val="00AE0FE9"/>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semiHidden/>
    <w:unhideWhenUsed/>
    <w:rsid w:val="00AE0FE9"/>
    <w:rPr>
      <w:color w:val="0000FF"/>
      <w:u w:val="single"/>
    </w:rPr>
  </w:style>
  <w:style w:type="character" w:customStyle="1" w:styleId="bold">
    <w:name w:val="bold"/>
    <w:basedOn w:val="Carpredefinitoparagrafo"/>
    <w:rsid w:val="00AE0FE9"/>
  </w:style>
  <w:style w:type="character" w:customStyle="1" w:styleId="italic">
    <w:name w:val="italic"/>
    <w:basedOn w:val="Carpredefinitoparagrafo"/>
    <w:rsid w:val="00AE0FE9"/>
  </w:style>
</w:styles>
</file>

<file path=word/webSettings.xml><?xml version="1.0" encoding="utf-8"?>
<w:webSettings xmlns:r="http://schemas.openxmlformats.org/officeDocument/2006/relationships" xmlns:w="http://schemas.openxmlformats.org/wordprocessingml/2006/main">
  <w:divs>
    <w:div w:id="193222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opa.eu/documents/comm/white_papers/pdf/com1985_0310_f_en.pdf" TargetMode="External"/><Relationship Id="rId13" Type="http://schemas.openxmlformats.org/officeDocument/2006/relationships/hyperlink" Target="http://eur-lex.europa.eu/summary/glossary/european_parliament.html" TargetMode="External"/><Relationship Id="rId18" Type="http://schemas.openxmlformats.org/officeDocument/2006/relationships/hyperlink" Target="http://eur-lex.europa.eu/summary/glossary/european_council.html" TargetMode="External"/><Relationship Id="rId26" Type="http://schemas.openxmlformats.org/officeDocument/2006/relationships/hyperlink" Target="http://eur-lex.europa.eu/summary/glossary/social_dialogue.html" TargetMode="External"/><Relationship Id="rId3" Type="http://schemas.openxmlformats.org/officeDocument/2006/relationships/settings" Target="settings.xml"/><Relationship Id="rId21" Type="http://schemas.openxmlformats.org/officeDocument/2006/relationships/hyperlink" Target="https://ec.europa.eu/taxation_customs/business/calculation-customs-duties/what-is-common-customs-tariff_en?" TargetMode="External"/><Relationship Id="rId34" Type="http://schemas.openxmlformats.org/officeDocument/2006/relationships/theme" Target="theme/theme1.xml"/><Relationship Id="rId7" Type="http://schemas.openxmlformats.org/officeDocument/2006/relationships/hyperlink" Target="http://eur-lex.europa.eu/legal-content/EN/TXT/?uri=LEGISSUM:4301853" TargetMode="External"/><Relationship Id="rId12" Type="http://schemas.openxmlformats.org/officeDocument/2006/relationships/hyperlink" Target="http://eur-lex.europa.eu/summary/glossary/european_commission.html" TargetMode="External"/><Relationship Id="rId17" Type="http://schemas.openxmlformats.org/officeDocument/2006/relationships/hyperlink" Target="http://eur-lex.europa.eu/summary/glossary/free_movement_persons.html" TargetMode="External"/><Relationship Id="rId25" Type="http://schemas.openxmlformats.org/officeDocument/2006/relationships/hyperlink" Target="http://eur-lex.europa.eu/summary/glossary/social_policy.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ur-lex.europa.eu/summary/glossary/taxation.html" TargetMode="External"/><Relationship Id="rId20" Type="http://schemas.openxmlformats.org/officeDocument/2006/relationships/hyperlink" Target="http://eur-lex.europa.eu/summary/glossary/general_court.html" TargetMode="External"/><Relationship Id="rId29" Type="http://schemas.openxmlformats.org/officeDocument/2006/relationships/hyperlink" Target="http://eur-lex.europa.eu/summary/glossary/subsidiarity.html" TargetMode="External"/><Relationship Id="rId1" Type="http://schemas.openxmlformats.org/officeDocument/2006/relationships/numbering" Target="numbering.xml"/><Relationship Id="rId6" Type="http://schemas.openxmlformats.org/officeDocument/2006/relationships/hyperlink" Target="http://eur-lex.europa.eu/legal-content/EN/TXT/?uri=LEGISSUM:xy0023" TargetMode="External"/><Relationship Id="rId11" Type="http://schemas.openxmlformats.org/officeDocument/2006/relationships/hyperlink" Target="http://eur-lex.europa.eu/summary/glossary/foreign_security_policy.html" TargetMode="External"/><Relationship Id="rId24" Type="http://schemas.openxmlformats.org/officeDocument/2006/relationships/hyperlink" Target="http://eur-lex.europa.eu/summary/glossary/economic_social_cohesion.html" TargetMode="External"/><Relationship Id="rId32" Type="http://schemas.openxmlformats.org/officeDocument/2006/relationships/hyperlink" Target="http://europa.eu/documents/comm/white_papers/pdf/com1985_0310_f_en.pdf" TargetMode="External"/><Relationship Id="rId5" Type="http://schemas.openxmlformats.org/officeDocument/2006/relationships/hyperlink" Target="https://eur-lex.europa.eu/legal-content/EN/AUTO/?uri=celex:11986U/TXT" TargetMode="External"/><Relationship Id="rId15" Type="http://schemas.openxmlformats.org/officeDocument/2006/relationships/hyperlink" Target="http://eur-lex.europa.eu/summary/glossary/unanimity.html" TargetMode="External"/><Relationship Id="rId23" Type="http://schemas.openxmlformats.org/officeDocument/2006/relationships/hyperlink" Target="https://ec.europa.eu/commission/priorities/internal-market_en?" TargetMode="External"/><Relationship Id="rId28" Type="http://schemas.openxmlformats.org/officeDocument/2006/relationships/hyperlink" Target="http://eur-lex.europa.eu/summary/glossary/environment.html" TargetMode="External"/><Relationship Id="rId10" Type="http://schemas.openxmlformats.org/officeDocument/2006/relationships/hyperlink" Target="http://eur-lex.europa.eu/legal-content/EN/TXT/?uri=LEGISSUM:xy0026" TargetMode="External"/><Relationship Id="rId19" Type="http://schemas.openxmlformats.org/officeDocument/2006/relationships/hyperlink" Target="https://eur-lex.europa.eu/legal-content/EN/AUTO/?uri=celex:12016M015" TargetMode="External"/><Relationship Id="rId31" Type="http://schemas.openxmlformats.org/officeDocument/2006/relationships/hyperlink" Target="https://eur-lex.europa.eu/legal-content/EN/AUTO/?uri=celex:11986U/TXT" TargetMode="External"/><Relationship Id="rId4" Type="http://schemas.openxmlformats.org/officeDocument/2006/relationships/webSettings" Target="webSettings.xml"/><Relationship Id="rId9" Type="http://schemas.openxmlformats.org/officeDocument/2006/relationships/hyperlink" Target="http://eur-lex.europa.eu/summary/glossary/economic_monetary_union.html" TargetMode="External"/><Relationship Id="rId14" Type="http://schemas.openxmlformats.org/officeDocument/2006/relationships/hyperlink" Target="http://eur-lex.europa.eu/summary/glossary/qualified_majority.html" TargetMode="External"/><Relationship Id="rId22" Type="http://schemas.openxmlformats.org/officeDocument/2006/relationships/hyperlink" Target="https://ec.europa.eu/info/business-economy-euro/banking-and-finance/financial-markets/capital-movements_en?" TargetMode="External"/><Relationship Id="rId27" Type="http://schemas.openxmlformats.org/officeDocument/2006/relationships/hyperlink" Target="http://eur-lex.europa.eu/summary/glossary/research_and_development.html" TargetMode="External"/><Relationship Id="rId30" Type="http://schemas.openxmlformats.org/officeDocument/2006/relationships/hyperlink" Target="https://europa.eu/european-union/about-eu/history/1980-1989_en"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1165</Words>
  <Characters>6646</Characters>
  <Application>Microsoft Office Word</Application>
  <DocSecurity>0</DocSecurity>
  <Lines>55</Lines>
  <Paragraphs>15</Paragraphs>
  <ScaleCrop>false</ScaleCrop>
  <Company/>
  <LinksUpToDate>false</LinksUpToDate>
  <CharactersWithSpaces>7796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2</cp:revision>
  <dcterms:created xsi:type="dcterms:W3CDTF">2019-03-31T18:20:00Z</dcterms:created>
  <dcterms:modified xsi:type="dcterms:W3CDTF">2019-03-31T18:20:00Z</dcterms:modified>
</cp:coreProperties>
</file>