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64F" w:rsidRPr="006B464F" w:rsidRDefault="006B464F" w:rsidP="006B464F">
      <w:pPr>
        <w:spacing w:before="676" w:after="326" w:line="240" w:lineRule="auto"/>
        <w:jc w:val="center"/>
        <w:rPr>
          <w:rFonts w:ascii="Times New Roman" w:eastAsia="Times New Roman" w:hAnsi="Times New Roman" w:cs="Times New Roman"/>
          <w:b/>
          <w:bCs/>
          <w:color w:val="000000"/>
          <w:sz w:val="42"/>
          <w:szCs w:val="42"/>
          <w:lang w:val="en-US"/>
        </w:rPr>
      </w:pPr>
      <w:r w:rsidRPr="006B464F">
        <w:rPr>
          <w:rFonts w:ascii="Times New Roman" w:eastAsia="Times New Roman" w:hAnsi="Times New Roman" w:cs="Times New Roman"/>
          <w:b/>
          <w:bCs/>
          <w:color w:val="000000"/>
          <w:sz w:val="42"/>
          <w:szCs w:val="42"/>
          <w:lang w:val="en-US"/>
        </w:rPr>
        <w:t>Treaty establishing the European Coal and Steel Community, ECSC Treaty</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 </w:t>
      </w:r>
    </w:p>
    <w:p w:rsidR="006B464F" w:rsidRPr="006B464F" w:rsidRDefault="006B464F" w:rsidP="006B464F">
      <w:pPr>
        <w:spacing w:before="326" w:after="163" w:line="240" w:lineRule="auto"/>
        <w:rPr>
          <w:rFonts w:ascii="Times New Roman" w:eastAsia="Times New Roman" w:hAnsi="Times New Roman" w:cs="Times New Roman"/>
          <w:b/>
          <w:bCs/>
          <w:color w:val="000000"/>
          <w:sz w:val="27"/>
          <w:szCs w:val="27"/>
          <w:lang w:val="en-US"/>
        </w:rPr>
      </w:pPr>
      <w:r w:rsidRPr="006B464F">
        <w:rPr>
          <w:rFonts w:ascii="Times New Roman" w:eastAsia="Times New Roman" w:hAnsi="Times New Roman" w:cs="Times New Roman"/>
          <w:b/>
          <w:bCs/>
          <w:color w:val="000000"/>
          <w:sz w:val="27"/>
          <w:szCs w:val="27"/>
          <w:lang w:val="en-US"/>
        </w:rPr>
        <w:t>SUMMARY OF:</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hyperlink r:id="rId7" w:history="1">
        <w:r w:rsidRPr="006B464F">
          <w:rPr>
            <w:rFonts w:ascii="Times New Roman" w:eastAsia="Times New Roman" w:hAnsi="Times New Roman" w:cs="Times New Roman"/>
            <w:color w:val="0000FF"/>
            <w:sz w:val="27"/>
            <w:u w:val="single"/>
            <w:lang w:val="en-US"/>
          </w:rPr>
          <w:t>Treaty of Paris setting up the European Coal and Steel Community (ECSC)</w:t>
        </w:r>
      </w:hyperlink>
    </w:p>
    <w:p w:rsidR="006B464F" w:rsidRPr="006B464F" w:rsidRDefault="006B464F" w:rsidP="006B464F">
      <w:pPr>
        <w:spacing w:before="326" w:after="163" w:line="240" w:lineRule="auto"/>
        <w:rPr>
          <w:rFonts w:ascii="Times New Roman" w:eastAsia="Times New Roman" w:hAnsi="Times New Roman" w:cs="Times New Roman"/>
          <w:b/>
          <w:bCs/>
          <w:color w:val="000000"/>
          <w:sz w:val="27"/>
          <w:szCs w:val="27"/>
          <w:lang w:val="en-US"/>
        </w:rPr>
      </w:pPr>
      <w:r w:rsidRPr="006B464F">
        <w:rPr>
          <w:rFonts w:ascii="Times New Roman" w:eastAsia="Times New Roman" w:hAnsi="Times New Roman" w:cs="Times New Roman"/>
          <w:b/>
          <w:bCs/>
          <w:color w:val="000000"/>
          <w:sz w:val="27"/>
          <w:szCs w:val="27"/>
          <w:lang w:val="en-US"/>
        </w:rPr>
        <w:t>WHAT WAS THE AIM OF THE TREATY?</w:t>
      </w:r>
    </w:p>
    <w:p w:rsidR="006B464F" w:rsidRPr="006B464F" w:rsidRDefault="006B464F" w:rsidP="006B464F">
      <w:pPr>
        <w:numPr>
          <w:ilvl w:val="0"/>
          <w:numId w:val="1"/>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It set up the European Coal and Steel Community (ECSC) which brought together 6 countries (Belgium, Germany, France, Italy, Luxembourg and the Netherlands) to organise the free movement of coal and steel and to free up access to sources of production.</w:t>
      </w:r>
    </w:p>
    <w:p w:rsidR="006B464F" w:rsidRPr="006B464F" w:rsidRDefault="006B464F" w:rsidP="006B464F">
      <w:pPr>
        <w:numPr>
          <w:ilvl w:val="0"/>
          <w:numId w:val="1"/>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An important feature was the setting up of a common High Authority to:</w:t>
      </w:r>
    </w:p>
    <w:p w:rsidR="006B464F" w:rsidRPr="006B464F" w:rsidRDefault="006B464F" w:rsidP="006B464F">
      <w:pPr>
        <w:numPr>
          <w:ilvl w:val="1"/>
          <w:numId w:val="1"/>
        </w:numPr>
        <w:spacing w:before="240" w:after="240" w:line="240" w:lineRule="auto"/>
        <w:ind w:left="2400"/>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rPr>
        <w:t>supervise the market;</w:t>
      </w:r>
    </w:p>
    <w:p w:rsidR="006B464F" w:rsidRPr="006B464F" w:rsidRDefault="006B464F" w:rsidP="006B464F">
      <w:pPr>
        <w:numPr>
          <w:ilvl w:val="1"/>
          <w:numId w:val="1"/>
        </w:numPr>
        <w:spacing w:before="240" w:after="240" w:line="240" w:lineRule="auto"/>
        <w:ind w:left="24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monitor compliance with competition rules; and</w:t>
      </w:r>
    </w:p>
    <w:p w:rsidR="006B464F" w:rsidRPr="006B464F" w:rsidRDefault="006B464F" w:rsidP="006B464F">
      <w:pPr>
        <w:numPr>
          <w:ilvl w:val="1"/>
          <w:numId w:val="1"/>
        </w:numPr>
        <w:spacing w:before="240" w:after="240" w:line="240" w:lineRule="auto"/>
        <w:ind w:left="2400"/>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rPr>
        <w:t>ensure price transparency.</w:t>
      </w:r>
    </w:p>
    <w:p w:rsidR="006B464F" w:rsidRPr="006B464F" w:rsidRDefault="006B464F" w:rsidP="006B464F">
      <w:pPr>
        <w:numPr>
          <w:ilvl w:val="0"/>
          <w:numId w:val="1"/>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ECSC Treaty was the origin of the EU institutions as we know them today. Created in 1951, in the aftermath of World War II, the ECSC represented the first step towards European integration.</w:t>
      </w:r>
    </w:p>
    <w:p w:rsidR="006B464F" w:rsidRPr="006B464F" w:rsidRDefault="006B464F" w:rsidP="006B464F">
      <w:pPr>
        <w:spacing w:before="326" w:after="163" w:line="240" w:lineRule="auto"/>
        <w:rPr>
          <w:rFonts w:ascii="Times New Roman" w:eastAsia="Times New Roman" w:hAnsi="Times New Roman" w:cs="Times New Roman"/>
          <w:b/>
          <w:bCs/>
          <w:color w:val="000000"/>
          <w:sz w:val="27"/>
          <w:szCs w:val="27"/>
          <w:lang w:val="en-US"/>
        </w:rPr>
      </w:pPr>
      <w:r w:rsidRPr="006B464F">
        <w:rPr>
          <w:rFonts w:ascii="Times New Roman" w:eastAsia="Times New Roman" w:hAnsi="Times New Roman" w:cs="Times New Roman"/>
          <w:b/>
          <w:bCs/>
          <w:color w:val="000000"/>
          <w:sz w:val="27"/>
          <w:szCs w:val="27"/>
          <w:lang w:val="en-US"/>
        </w:rPr>
        <w:t>KEY POINTS</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b/>
          <w:bCs/>
          <w:color w:val="000000"/>
          <w:sz w:val="27"/>
          <w:lang w:val="en-US"/>
        </w:rPr>
        <w:t>Objectives</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aim of the treaty, as stated in its Article 2, was to contribute, through the common market for coal and steel, to economic expansion, employment and better living standards. Thus, the institutions had to ensure an orderly supply of coal and steel to the common market by ensuring equal access to the sources of production, the establishment of the lowest prices and improved working conditions. All of this had to be accompanied by the growth in international trade and the modernisation of production.</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In creating a common market, the treaty introduced the free movement of products without customs duties or taxes. It prohibited discriminatory measures or practices, subsidies, </w:t>
      </w:r>
      <w:hyperlink r:id="rId8" w:history="1">
        <w:r w:rsidRPr="006B464F">
          <w:rPr>
            <w:rFonts w:ascii="Times New Roman" w:eastAsia="Times New Roman" w:hAnsi="Times New Roman" w:cs="Times New Roman"/>
            <w:color w:val="0000FF"/>
            <w:sz w:val="27"/>
            <w:u w:val="single"/>
            <w:lang w:val="en-US"/>
          </w:rPr>
          <w:t>state aids</w:t>
        </w:r>
      </w:hyperlink>
      <w:r w:rsidRPr="006B464F">
        <w:rPr>
          <w:rFonts w:ascii="Times New Roman" w:eastAsia="Times New Roman" w:hAnsi="Times New Roman" w:cs="Times New Roman"/>
          <w:color w:val="000000"/>
          <w:sz w:val="27"/>
          <w:szCs w:val="27"/>
          <w:lang w:val="en-US"/>
        </w:rPr>
        <w:t> or special charges imposed by states and restrictive practices.</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b/>
          <w:bCs/>
          <w:color w:val="000000"/>
          <w:sz w:val="27"/>
          <w:lang w:val="en-US"/>
        </w:rPr>
        <w:t>Structure</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treaty was divided into </w:t>
      </w:r>
      <w:r w:rsidRPr="006B464F">
        <w:rPr>
          <w:rFonts w:ascii="Times New Roman" w:eastAsia="Times New Roman" w:hAnsi="Times New Roman" w:cs="Times New Roman"/>
          <w:b/>
          <w:bCs/>
          <w:color w:val="000000"/>
          <w:sz w:val="27"/>
          <w:lang w:val="en-US"/>
        </w:rPr>
        <w:t>4 titles</w:t>
      </w:r>
      <w:r w:rsidRPr="006B464F">
        <w:rPr>
          <w:rFonts w:ascii="Times New Roman" w:eastAsia="Times New Roman" w:hAnsi="Times New Roman" w:cs="Times New Roman"/>
          <w:color w:val="000000"/>
          <w:sz w:val="27"/>
          <w:szCs w:val="27"/>
          <w:lang w:val="en-US"/>
        </w:rPr>
        <w:t>:</w:t>
      </w:r>
    </w:p>
    <w:p w:rsidR="006B464F" w:rsidRPr="006B464F" w:rsidRDefault="006B464F" w:rsidP="006B464F">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rPr>
        <w:lastRenderedPageBreak/>
        <w:t>1.</w:t>
      </w:r>
    </w:p>
    <w:p w:rsidR="006B464F" w:rsidRPr="006B464F" w:rsidRDefault="006B464F" w:rsidP="006B464F">
      <w:pPr>
        <w:spacing w:before="100" w:beforeAutospacing="1" w:after="100" w:afterAutospacing="1" w:line="240" w:lineRule="auto"/>
        <w:ind w:left="1645"/>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European Coal and Steel Community;</w:t>
      </w:r>
    </w:p>
    <w:p w:rsidR="006B464F" w:rsidRPr="006B464F" w:rsidRDefault="006B464F" w:rsidP="006B464F">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rPr>
        <w:t>2.</w:t>
      </w:r>
    </w:p>
    <w:p w:rsidR="006B464F" w:rsidRPr="006B464F" w:rsidRDefault="006B464F" w:rsidP="006B464F">
      <w:pPr>
        <w:spacing w:before="100" w:beforeAutospacing="1" w:after="100" w:afterAutospacing="1" w:line="240" w:lineRule="auto"/>
        <w:ind w:left="1645"/>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institutions of the Community;</w:t>
      </w:r>
    </w:p>
    <w:p w:rsidR="006B464F" w:rsidRPr="006B464F" w:rsidRDefault="006B464F" w:rsidP="006B464F">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rPr>
        <w:t>3.</w:t>
      </w:r>
    </w:p>
    <w:p w:rsidR="006B464F" w:rsidRPr="006B464F" w:rsidRDefault="006B464F" w:rsidP="006B464F">
      <w:pPr>
        <w:spacing w:before="100" w:beforeAutospacing="1" w:after="100" w:afterAutospacing="1" w:line="240" w:lineRule="auto"/>
        <w:ind w:left="1645"/>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rPr>
        <w:t>economic and social rules; and</w:t>
      </w:r>
    </w:p>
    <w:p w:rsidR="006B464F" w:rsidRPr="006B464F" w:rsidRDefault="006B464F" w:rsidP="006B464F">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rPr>
        <w:t>4.</w:t>
      </w:r>
    </w:p>
    <w:p w:rsidR="006B464F" w:rsidRPr="006B464F" w:rsidRDefault="006B464F" w:rsidP="006B464F">
      <w:pPr>
        <w:spacing w:before="100" w:beforeAutospacing="1" w:after="100" w:afterAutospacing="1" w:line="240" w:lineRule="auto"/>
        <w:ind w:left="1645"/>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rPr>
        <w:t>general rules.</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rPr>
        <w:t>It also included:</w:t>
      </w:r>
    </w:p>
    <w:p w:rsidR="006B464F" w:rsidRPr="006B464F" w:rsidRDefault="006B464F" w:rsidP="006B464F">
      <w:pPr>
        <w:numPr>
          <w:ilvl w:val="0"/>
          <w:numId w:val="3"/>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b/>
          <w:bCs/>
          <w:color w:val="000000"/>
          <w:sz w:val="27"/>
          <w:lang w:val="en-US"/>
        </w:rPr>
        <w:t>2 protocols</w:t>
      </w:r>
      <w:r w:rsidRPr="006B464F">
        <w:rPr>
          <w:rFonts w:ascii="Times New Roman" w:eastAsia="Times New Roman" w:hAnsi="Times New Roman" w:cs="Times New Roman"/>
          <w:color w:val="000000"/>
          <w:sz w:val="27"/>
          <w:szCs w:val="27"/>
          <w:lang w:val="en-US"/>
        </w:rPr>
        <w:t>, one on the Court of Justice and the other on the ECSC’s relations with the </w:t>
      </w:r>
      <w:hyperlink r:id="rId9" w:history="1">
        <w:r w:rsidRPr="006B464F">
          <w:rPr>
            <w:rFonts w:ascii="Times New Roman" w:eastAsia="Times New Roman" w:hAnsi="Times New Roman" w:cs="Times New Roman"/>
            <w:color w:val="0000FF"/>
            <w:sz w:val="27"/>
            <w:u w:val="single"/>
            <w:lang w:val="en-US"/>
          </w:rPr>
          <w:t>Council of Europe</w:t>
        </w:r>
      </w:hyperlink>
      <w:r w:rsidRPr="006B464F">
        <w:rPr>
          <w:rFonts w:ascii="Times New Roman" w:eastAsia="Times New Roman" w:hAnsi="Times New Roman" w:cs="Times New Roman"/>
          <w:color w:val="000000"/>
          <w:sz w:val="27"/>
          <w:szCs w:val="27"/>
          <w:lang w:val="en-US"/>
        </w:rPr>
        <w:t>, and</w:t>
      </w:r>
    </w:p>
    <w:p w:rsidR="006B464F" w:rsidRPr="006B464F" w:rsidRDefault="006B464F" w:rsidP="006B464F">
      <w:pPr>
        <w:numPr>
          <w:ilvl w:val="0"/>
          <w:numId w:val="3"/>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a </w:t>
      </w:r>
      <w:r w:rsidRPr="006B464F">
        <w:rPr>
          <w:rFonts w:ascii="Times New Roman" w:eastAsia="Times New Roman" w:hAnsi="Times New Roman" w:cs="Times New Roman"/>
          <w:b/>
          <w:bCs/>
          <w:color w:val="000000"/>
          <w:sz w:val="27"/>
          <w:lang w:val="en-US"/>
        </w:rPr>
        <w:t>convention</w:t>
      </w:r>
      <w:r w:rsidRPr="006B464F">
        <w:rPr>
          <w:rFonts w:ascii="Times New Roman" w:eastAsia="Times New Roman" w:hAnsi="Times New Roman" w:cs="Times New Roman"/>
          <w:color w:val="000000"/>
          <w:sz w:val="27"/>
          <w:szCs w:val="27"/>
          <w:lang w:val="en-US"/>
        </w:rPr>
        <w:t> on the transitional rules, which dealt with the implementation of the treaty, relations with non-ECSC countries and general safeguards.</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b/>
          <w:bCs/>
          <w:color w:val="000000"/>
          <w:sz w:val="27"/>
          <w:lang w:val="en-US"/>
        </w:rPr>
        <w:t>Institutions</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lang w:val="en-US"/>
        </w:rPr>
        <w:t xml:space="preserve">The treaty established a High Authority, an Assembly, a Council of Ministers and a Court of Justice. </w:t>
      </w:r>
      <w:r w:rsidRPr="006B464F">
        <w:rPr>
          <w:rFonts w:ascii="Times New Roman" w:eastAsia="Times New Roman" w:hAnsi="Times New Roman" w:cs="Times New Roman"/>
          <w:color w:val="000000"/>
          <w:sz w:val="27"/>
          <w:szCs w:val="27"/>
        </w:rPr>
        <w:t>The ECSC had legal personality.</w:t>
      </w:r>
    </w:p>
    <w:p w:rsidR="006B464F" w:rsidRPr="006B464F" w:rsidRDefault="006B464F" w:rsidP="006B464F">
      <w:pPr>
        <w:numPr>
          <w:ilvl w:val="0"/>
          <w:numId w:val="4"/>
        </w:numPr>
        <w:spacing w:before="240" w:after="240" w:line="240" w:lineRule="auto"/>
        <w:ind w:left="1200"/>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lang w:val="en-US"/>
        </w:rPr>
        <w:t>The </w:t>
      </w:r>
      <w:r w:rsidRPr="006B464F">
        <w:rPr>
          <w:rFonts w:ascii="Times New Roman" w:eastAsia="Times New Roman" w:hAnsi="Times New Roman" w:cs="Times New Roman"/>
          <w:b/>
          <w:bCs/>
          <w:color w:val="000000"/>
          <w:sz w:val="27"/>
          <w:lang w:val="en-US"/>
        </w:rPr>
        <w:t>High Authority</w:t>
      </w:r>
      <w:r w:rsidRPr="006B464F">
        <w:rPr>
          <w:rFonts w:ascii="Times New Roman" w:eastAsia="Times New Roman" w:hAnsi="Times New Roman" w:cs="Times New Roman"/>
          <w:color w:val="000000"/>
          <w:sz w:val="27"/>
          <w:szCs w:val="27"/>
          <w:lang w:val="en-US"/>
        </w:rPr>
        <w:t>, the forerunner of today’s </w:t>
      </w:r>
      <w:hyperlink r:id="rId10" w:history="1">
        <w:r w:rsidRPr="006B464F">
          <w:rPr>
            <w:rFonts w:ascii="Times New Roman" w:eastAsia="Times New Roman" w:hAnsi="Times New Roman" w:cs="Times New Roman"/>
            <w:color w:val="0000FF"/>
            <w:sz w:val="27"/>
            <w:u w:val="single"/>
            <w:lang w:val="en-US"/>
          </w:rPr>
          <w:t>European Commission</w:t>
        </w:r>
      </w:hyperlink>
      <w:r w:rsidRPr="006B464F">
        <w:rPr>
          <w:rFonts w:ascii="Times New Roman" w:eastAsia="Times New Roman" w:hAnsi="Times New Roman" w:cs="Times New Roman"/>
          <w:color w:val="000000"/>
          <w:sz w:val="27"/>
          <w:szCs w:val="27"/>
          <w:lang w:val="en-US"/>
        </w:rPr>
        <w:t>, was the independent collegiate executive with the task of achieving the objectives laid down by the treaty and acting in the ECSC’s general interest. It comprised </w:t>
      </w:r>
      <w:r w:rsidRPr="006B464F">
        <w:rPr>
          <w:rFonts w:ascii="Times New Roman" w:eastAsia="Times New Roman" w:hAnsi="Times New Roman" w:cs="Times New Roman"/>
          <w:b/>
          <w:bCs/>
          <w:color w:val="000000"/>
          <w:sz w:val="27"/>
          <w:lang w:val="en-US"/>
        </w:rPr>
        <w:t>9 members</w:t>
      </w:r>
      <w:r w:rsidRPr="006B464F">
        <w:rPr>
          <w:rFonts w:ascii="Times New Roman" w:eastAsia="Times New Roman" w:hAnsi="Times New Roman" w:cs="Times New Roman"/>
          <w:color w:val="000000"/>
          <w:sz w:val="27"/>
          <w:szCs w:val="27"/>
          <w:lang w:val="en-US"/>
        </w:rPr>
        <w:t xml:space="preserve"> (of whom not more than 2 could be of the same nationality) appointed for 6 years. It was a truly supranational body with power of decision. </w:t>
      </w:r>
      <w:r w:rsidRPr="006B464F">
        <w:rPr>
          <w:rFonts w:ascii="Times New Roman" w:eastAsia="Times New Roman" w:hAnsi="Times New Roman" w:cs="Times New Roman"/>
          <w:color w:val="000000"/>
          <w:sz w:val="27"/>
          <w:szCs w:val="27"/>
        </w:rPr>
        <w:t>It supervised:</w:t>
      </w:r>
    </w:p>
    <w:p w:rsidR="006B464F" w:rsidRPr="006B464F" w:rsidRDefault="006B464F" w:rsidP="006B464F">
      <w:pPr>
        <w:numPr>
          <w:ilvl w:val="1"/>
          <w:numId w:val="4"/>
        </w:numPr>
        <w:spacing w:before="240" w:after="240" w:line="240" w:lineRule="auto"/>
        <w:ind w:left="24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modernisation and improvement of production;</w:t>
      </w:r>
    </w:p>
    <w:p w:rsidR="006B464F" w:rsidRPr="006B464F" w:rsidRDefault="006B464F" w:rsidP="006B464F">
      <w:pPr>
        <w:numPr>
          <w:ilvl w:val="1"/>
          <w:numId w:val="4"/>
        </w:numPr>
        <w:spacing w:before="240" w:after="240" w:line="240" w:lineRule="auto"/>
        <w:ind w:left="24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supply of products under identical conditions;</w:t>
      </w:r>
    </w:p>
    <w:p w:rsidR="006B464F" w:rsidRPr="006B464F" w:rsidRDefault="006B464F" w:rsidP="006B464F">
      <w:pPr>
        <w:numPr>
          <w:ilvl w:val="1"/>
          <w:numId w:val="4"/>
        </w:numPr>
        <w:spacing w:before="240" w:after="240" w:line="240" w:lineRule="auto"/>
        <w:ind w:left="24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development of a common export policy; and</w:t>
      </w:r>
    </w:p>
    <w:p w:rsidR="006B464F" w:rsidRPr="006B464F" w:rsidRDefault="006B464F" w:rsidP="006B464F">
      <w:pPr>
        <w:numPr>
          <w:ilvl w:val="1"/>
          <w:numId w:val="4"/>
        </w:numPr>
        <w:spacing w:before="240" w:after="240" w:line="240" w:lineRule="auto"/>
        <w:ind w:left="24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improvement of working conditions in the coal and steel industries.</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High Authority took decisions, made recommendations and delivered opinions. It was assisted by a </w:t>
      </w:r>
      <w:r w:rsidRPr="006B464F">
        <w:rPr>
          <w:rFonts w:ascii="Times New Roman" w:eastAsia="Times New Roman" w:hAnsi="Times New Roman" w:cs="Times New Roman"/>
          <w:b/>
          <w:bCs/>
          <w:color w:val="000000"/>
          <w:sz w:val="27"/>
          <w:lang w:val="en-US"/>
        </w:rPr>
        <w:t>Consultative Committee</w:t>
      </w:r>
      <w:r w:rsidRPr="006B464F">
        <w:rPr>
          <w:rFonts w:ascii="Times New Roman" w:eastAsia="Times New Roman" w:hAnsi="Times New Roman" w:cs="Times New Roman"/>
          <w:color w:val="000000"/>
          <w:sz w:val="27"/>
          <w:szCs w:val="27"/>
          <w:lang w:val="en-US"/>
        </w:rPr>
        <w:t> (the forerunner of today’s </w:t>
      </w:r>
      <w:hyperlink r:id="rId11" w:history="1">
        <w:r w:rsidRPr="006B464F">
          <w:rPr>
            <w:rFonts w:ascii="Times New Roman" w:eastAsia="Times New Roman" w:hAnsi="Times New Roman" w:cs="Times New Roman"/>
            <w:color w:val="0000FF"/>
            <w:sz w:val="27"/>
            <w:u w:val="single"/>
            <w:lang w:val="en-US"/>
          </w:rPr>
          <w:t xml:space="preserve">European </w:t>
        </w:r>
        <w:r w:rsidRPr="006B464F">
          <w:rPr>
            <w:rFonts w:ascii="Times New Roman" w:eastAsia="Times New Roman" w:hAnsi="Times New Roman" w:cs="Times New Roman"/>
            <w:color w:val="0000FF"/>
            <w:sz w:val="27"/>
            <w:u w:val="single"/>
            <w:lang w:val="en-US"/>
          </w:rPr>
          <w:lastRenderedPageBreak/>
          <w:t>Economic and Social Committee</w:t>
        </w:r>
      </w:hyperlink>
      <w:r w:rsidRPr="006B464F">
        <w:rPr>
          <w:rFonts w:ascii="Times New Roman" w:eastAsia="Times New Roman" w:hAnsi="Times New Roman" w:cs="Times New Roman"/>
          <w:color w:val="000000"/>
          <w:sz w:val="27"/>
          <w:szCs w:val="27"/>
          <w:lang w:val="en-US"/>
        </w:rPr>
        <w:t>) made up of representatives of producers, workers, consumers and dealers.</w:t>
      </w:r>
    </w:p>
    <w:p w:rsidR="006B464F" w:rsidRPr="006B464F" w:rsidRDefault="006B464F" w:rsidP="006B464F">
      <w:pPr>
        <w:numPr>
          <w:ilvl w:val="0"/>
          <w:numId w:val="5"/>
        </w:numPr>
        <w:spacing w:before="240" w:after="240" w:line="240" w:lineRule="auto"/>
        <w:ind w:left="1200"/>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lang w:val="en-US"/>
        </w:rPr>
        <w:t>The </w:t>
      </w:r>
      <w:r w:rsidRPr="006B464F">
        <w:rPr>
          <w:rFonts w:ascii="Times New Roman" w:eastAsia="Times New Roman" w:hAnsi="Times New Roman" w:cs="Times New Roman"/>
          <w:b/>
          <w:bCs/>
          <w:color w:val="000000"/>
          <w:sz w:val="27"/>
          <w:lang w:val="en-US"/>
        </w:rPr>
        <w:t>Assembly</w:t>
      </w:r>
      <w:r w:rsidRPr="006B464F">
        <w:rPr>
          <w:rFonts w:ascii="Times New Roman" w:eastAsia="Times New Roman" w:hAnsi="Times New Roman" w:cs="Times New Roman"/>
          <w:color w:val="000000"/>
          <w:sz w:val="27"/>
          <w:szCs w:val="27"/>
          <w:lang w:val="en-US"/>
        </w:rPr>
        <w:t>, the forerunner of the </w:t>
      </w:r>
      <w:hyperlink r:id="rId12" w:history="1">
        <w:r w:rsidRPr="006B464F">
          <w:rPr>
            <w:rFonts w:ascii="Times New Roman" w:eastAsia="Times New Roman" w:hAnsi="Times New Roman" w:cs="Times New Roman"/>
            <w:color w:val="0000FF"/>
            <w:sz w:val="27"/>
            <w:u w:val="single"/>
            <w:lang w:val="en-US"/>
          </w:rPr>
          <w:t>European Parliament</w:t>
        </w:r>
      </w:hyperlink>
      <w:r w:rsidRPr="006B464F">
        <w:rPr>
          <w:rFonts w:ascii="Times New Roman" w:eastAsia="Times New Roman" w:hAnsi="Times New Roman" w:cs="Times New Roman"/>
          <w:color w:val="000000"/>
          <w:sz w:val="27"/>
          <w:szCs w:val="27"/>
          <w:lang w:val="en-US"/>
        </w:rPr>
        <w:t>, was made up of </w:t>
      </w:r>
      <w:r w:rsidRPr="006B464F">
        <w:rPr>
          <w:rFonts w:ascii="Times New Roman" w:eastAsia="Times New Roman" w:hAnsi="Times New Roman" w:cs="Times New Roman"/>
          <w:b/>
          <w:bCs/>
          <w:color w:val="000000"/>
          <w:sz w:val="27"/>
          <w:lang w:val="en-US"/>
        </w:rPr>
        <w:t>78 members</w:t>
      </w:r>
      <w:r w:rsidRPr="006B464F">
        <w:rPr>
          <w:rFonts w:ascii="Times New Roman" w:eastAsia="Times New Roman" w:hAnsi="Times New Roman" w:cs="Times New Roman"/>
          <w:color w:val="000000"/>
          <w:sz w:val="27"/>
          <w:szCs w:val="27"/>
          <w:lang w:val="en-US"/>
        </w:rPr>
        <w:t xml:space="preserve">, who were representatives of their national parliaments. There were 18 each for Germany, France and Italy, 10 for Belgium and the Netherlands and 4 for Luxembourg. </w:t>
      </w:r>
      <w:r w:rsidRPr="006B464F">
        <w:rPr>
          <w:rFonts w:ascii="Times New Roman" w:eastAsia="Times New Roman" w:hAnsi="Times New Roman" w:cs="Times New Roman"/>
          <w:color w:val="000000"/>
          <w:sz w:val="27"/>
          <w:szCs w:val="27"/>
        </w:rPr>
        <w:t>The treaty assigned supervisory power to this Assembly.</w:t>
      </w:r>
    </w:p>
    <w:p w:rsidR="006B464F" w:rsidRPr="006B464F" w:rsidRDefault="006B464F" w:rsidP="006B464F">
      <w:pPr>
        <w:numPr>
          <w:ilvl w:val="0"/>
          <w:numId w:val="5"/>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w:t>
      </w:r>
      <w:r w:rsidRPr="006B464F">
        <w:rPr>
          <w:rFonts w:ascii="Times New Roman" w:eastAsia="Times New Roman" w:hAnsi="Times New Roman" w:cs="Times New Roman"/>
          <w:b/>
          <w:bCs/>
          <w:color w:val="000000"/>
          <w:sz w:val="27"/>
          <w:lang w:val="en-US"/>
        </w:rPr>
        <w:t>Council</w:t>
      </w:r>
      <w:r w:rsidRPr="006B464F">
        <w:rPr>
          <w:rFonts w:ascii="Times New Roman" w:eastAsia="Times New Roman" w:hAnsi="Times New Roman" w:cs="Times New Roman"/>
          <w:color w:val="000000"/>
          <w:sz w:val="27"/>
          <w:szCs w:val="27"/>
          <w:lang w:val="en-US"/>
        </w:rPr>
        <w:t>, the forerunner of today’s </w:t>
      </w:r>
      <w:hyperlink r:id="rId13" w:history="1">
        <w:r w:rsidRPr="006B464F">
          <w:rPr>
            <w:rFonts w:ascii="Times New Roman" w:eastAsia="Times New Roman" w:hAnsi="Times New Roman" w:cs="Times New Roman"/>
            <w:color w:val="0000FF"/>
            <w:sz w:val="27"/>
            <w:u w:val="single"/>
            <w:lang w:val="en-US"/>
          </w:rPr>
          <w:t>Council of the European Union</w:t>
        </w:r>
      </w:hyperlink>
      <w:r w:rsidRPr="006B464F">
        <w:rPr>
          <w:rFonts w:ascii="Times New Roman" w:eastAsia="Times New Roman" w:hAnsi="Times New Roman" w:cs="Times New Roman"/>
          <w:color w:val="000000"/>
          <w:sz w:val="27"/>
          <w:szCs w:val="27"/>
          <w:lang w:val="en-US"/>
        </w:rPr>
        <w:t>, consisted of </w:t>
      </w:r>
      <w:r w:rsidRPr="006B464F">
        <w:rPr>
          <w:rFonts w:ascii="Times New Roman" w:eastAsia="Times New Roman" w:hAnsi="Times New Roman" w:cs="Times New Roman"/>
          <w:b/>
          <w:bCs/>
          <w:color w:val="000000"/>
          <w:sz w:val="27"/>
          <w:lang w:val="en-US"/>
        </w:rPr>
        <w:t>6 representatives</w:t>
      </w:r>
      <w:r w:rsidRPr="006B464F">
        <w:rPr>
          <w:rFonts w:ascii="Times New Roman" w:eastAsia="Times New Roman" w:hAnsi="Times New Roman" w:cs="Times New Roman"/>
          <w:color w:val="000000"/>
          <w:sz w:val="27"/>
          <w:szCs w:val="27"/>
          <w:lang w:val="en-US"/>
        </w:rPr>
        <w:t> of the national governments. The Presidency of the Council was held by each ECSC country in turn for a period of 3 months. Its role was to harmonise the activities of the High Authority and the general economic policy of the governments. Its approval was required for important decisions taken by the High Authority.</w:t>
      </w:r>
    </w:p>
    <w:p w:rsidR="006B464F" w:rsidRPr="006B464F" w:rsidRDefault="006B464F" w:rsidP="006B464F">
      <w:pPr>
        <w:numPr>
          <w:ilvl w:val="0"/>
          <w:numId w:val="5"/>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w:t>
      </w:r>
      <w:r w:rsidRPr="006B464F">
        <w:rPr>
          <w:rFonts w:ascii="Times New Roman" w:eastAsia="Times New Roman" w:hAnsi="Times New Roman" w:cs="Times New Roman"/>
          <w:b/>
          <w:bCs/>
          <w:color w:val="000000"/>
          <w:sz w:val="27"/>
          <w:lang w:val="en-US"/>
        </w:rPr>
        <w:t>Court of Justice</w:t>
      </w:r>
      <w:r w:rsidRPr="006B464F">
        <w:rPr>
          <w:rFonts w:ascii="Times New Roman" w:eastAsia="Times New Roman" w:hAnsi="Times New Roman" w:cs="Times New Roman"/>
          <w:color w:val="000000"/>
          <w:sz w:val="27"/>
          <w:szCs w:val="27"/>
          <w:lang w:val="en-US"/>
        </w:rPr>
        <w:t>, the forerunner of the </w:t>
      </w:r>
      <w:hyperlink r:id="rId14" w:history="1">
        <w:r w:rsidRPr="006B464F">
          <w:rPr>
            <w:rFonts w:ascii="Times New Roman" w:eastAsia="Times New Roman" w:hAnsi="Times New Roman" w:cs="Times New Roman"/>
            <w:color w:val="0000FF"/>
            <w:sz w:val="27"/>
            <w:u w:val="single"/>
            <w:lang w:val="en-US"/>
          </w:rPr>
          <w:t>Court of Justice of the European Union</w:t>
        </w:r>
      </w:hyperlink>
      <w:r w:rsidRPr="006B464F">
        <w:rPr>
          <w:rFonts w:ascii="Times New Roman" w:eastAsia="Times New Roman" w:hAnsi="Times New Roman" w:cs="Times New Roman"/>
          <w:color w:val="000000"/>
          <w:sz w:val="27"/>
          <w:szCs w:val="27"/>
          <w:lang w:val="en-US"/>
        </w:rPr>
        <w:t>, consisted of </w:t>
      </w:r>
      <w:r w:rsidRPr="006B464F">
        <w:rPr>
          <w:rFonts w:ascii="Times New Roman" w:eastAsia="Times New Roman" w:hAnsi="Times New Roman" w:cs="Times New Roman"/>
          <w:b/>
          <w:bCs/>
          <w:color w:val="000000"/>
          <w:sz w:val="27"/>
          <w:lang w:val="en-US"/>
        </w:rPr>
        <w:t>7 judges</w:t>
      </w:r>
      <w:r w:rsidRPr="006B464F">
        <w:rPr>
          <w:rFonts w:ascii="Times New Roman" w:eastAsia="Times New Roman" w:hAnsi="Times New Roman" w:cs="Times New Roman"/>
          <w:color w:val="000000"/>
          <w:sz w:val="27"/>
          <w:szCs w:val="27"/>
          <w:lang w:val="en-US"/>
        </w:rPr>
        <w:t> nominated for 6 years by common agreement between the governments of the ECSC countries. It ensured that the treaty was interpreted and implemented correctly.</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rPr>
      </w:pPr>
      <w:r w:rsidRPr="006B464F">
        <w:rPr>
          <w:rFonts w:ascii="Times New Roman" w:eastAsia="Times New Roman" w:hAnsi="Times New Roman" w:cs="Times New Roman"/>
          <w:b/>
          <w:bCs/>
          <w:color w:val="000000"/>
          <w:sz w:val="27"/>
        </w:rPr>
        <w:t>Tasks</w:t>
      </w:r>
    </w:p>
    <w:p w:rsidR="006B464F" w:rsidRPr="006B464F" w:rsidRDefault="006B464F" w:rsidP="006B464F">
      <w:pPr>
        <w:numPr>
          <w:ilvl w:val="0"/>
          <w:numId w:val="6"/>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To pursue its goals, the ECSC:</w:t>
      </w:r>
    </w:p>
    <w:p w:rsidR="006B464F" w:rsidRPr="006B464F" w:rsidRDefault="006B464F" w:rsidP="006B464F">
      <w:pPr>
        <w:numPr>
          <w:ilvl w:val="1"/>
          <w:numId w:val="6"/>
        </w:numPr>
        <w:spacing w:before="240" w:after="240" w:line="240" w:lineRule="auto"/>
        <w:ind w:left="24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b/>
          <w:bCs/>
          <w:color w:val="000000"/>
          <w:sz w:val="27"/>
          <w:lang w:val="en-US"/>
        </w:rPr>
        <w:t>collected information</w:t>
      </w:r>
      <w:r w:rsidRPr="006B464F">
        <w:rPr>
          <w:rFonts w:ascii="Times New Roman" w:eastAsia="Times New Roman" w:hAnsi="Times New Roman" w:cs="Times New Roman"/>
          <w:color w:val="000000"/>
          <w:sz w:val="27"/>
          <w:szCs w:val="27"/>
          <w:lang w:val="en-US"/>
        </w:rPr>
        <w:t> from coal and steel companies and associations;</w:t>
      </w:r>
    </w:p>
    <w:p w:rsidR="006B464F" w:rsidRPr="006B464F" w:rsidRDefault="006B464F" w:rsidP="006B464F">
      <w:pPr>
        <w:numPr>
          <w:ilvl w:val="1"/>
          <w:numId w:val="6"/>
        </w:numPr>
        <w:spacing w:before="240" w:after="240" w:line="240" w:lineRule="auto"/>
        <w:ind w:left="24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b/>
          <w:bCs/>
          <w:color w:val="000000"/>
          <w:sz w:val="27"/>
          <w:lang w:val="en-US"/>
        </w:rPr>
        <w:t>consulted</w:t>
      </w:r>
      <w:r w:rsidRPr="006B464F">
        <w:rPr>
          <w:rFonts w:ascii="Times New Roman" w:eastAsia="Times New Roman" w:hAnsi="Times New Roman" w:cs="Times New Roman"/>
          <w:color w:val="000000"/>
          <w:sz w:val="27"/>
          <w:szCs w:val="27"/>
          <w:lang w:val="en-US"/>
        </w:rPr>
        <w:t> with the various parties (coal and steel companies, workers, etc); and</w:t>
      </w:r>
    </w:p>
    <w:p w:rsidR="006B464F" w:rsidRPr="006B464F" w:rsidRDefault="006B464F" w:rsidP="006B464F">
      <w:pPr>
        <w:numPr>
          <w:ilvl w:val="1"/>
          <w:numId w:val="6"/>
        </w:numPr>
        <w:spacing w:before="240" w:after="240" w:line="240" w:lineRule="auto"/>
        <w:ind w:left="24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b/>
          <w:bCs/>
          <w:color w:val="000000"/>
          <w:sz w:val="27"/>
          <w:lang w:val="en-US"/>
        </w:rPr>
        <w:t>had powers to carry out checks</w:t>
      </w:r>
      <w:r w:rsidRPr="006B464F">
        <w:rPr>
          <w:rFonts w:ascii="Times New Roman" w:eastAsia="Times New Roman" w:hAnsi="Times New Roman" w:cs="Times New Roman"/>
          <w:color w:val="000000"/>
          <w:sz w:val="27"/>
          <w:szCs w:val="27"/>
          <w:lang w:val="en-US"/>
        </w:rPr>
        <w:t> to check the information with which it was provided.</w:t>
      </w:r>
    </w:p>
    <w:p w:rsidR="006B464F" w:rsidRPr="006B464F" w:rsidRDefault="006B464F" w:rsidP="006B464F">
      <w:pPr>
        <w:numPr>
          <w:ilvl w:val="0"/>
          <w:numId w:val="6"/>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When coal and steel companies did not respect these powers, the High Authority could impose fines (maximum of 1% of annual turnover) and penalty payments (5% of the average daily turnover for each day’s delay).</w:t>
      </w:r>
    </w:p>
    <w:p w:rsidR="006B464F" w:rsidRPr="006B464F" w:rsidRDefault="006B464F" w:rsidP="006B464F">
      <w:pPr>
        <w:numPr>
          <w:ilvl w:val="0"/>
          <w:numId w:val="6"/>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On the basis of the information it gathered, the High Authority prepared </w:t>
      </w:r>
      <w:r w:rsidRPr="006B464F">
        <w:rPr>
          <w:rFonts w:ascii="Times New Roman" w:eastAsia="Times New Roman" w:hAnsi="Times New Roman" w:cs="Times New Roman"/>
          <w:b/>
          <w:bCs/>
          <w:color w:val="000000"/>
          <w:sz w:val="27"/>
          <w:lang w:val="en-US"/>
        </w:rPr>
        <w:t>forecasts</w:t>
      </w:r>
      <w:r w:rsidRPr="006B464F">
        <w:rPr>
          <w:rFonts w:ascii="Times New Roman" w:eastAsia="Times New Roman" w:hAnsi="Times New Roman" w:cs="Times New Roman"/>
          <w:color w:val="000000"/>
          <w:sz w:val="27"/>
          <w:szCs w:val="27"/>
          <w:lang w:val="en-US"/>
        </w:rPr>
        <w:t> to guide the activities of those involved and determine how the ECSC would act. To supplement the information received from companies and associations, the ECSC carried out its own studies on price trends and market behaviour.</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rPr>
      </w:pPr>
      <w:r w:rsidRPr="006B464F">
        <w:rPr>
          <w:rFonts w:ascii="Times New Roman" w:eastAsia="Times New Roman" w:hAnsi="Times New Roman" w:cs="Times New Roman"/>
          <w:b/>
          <w:bCs/>
          <w:color w:val="000000"/>
          <w:sz w:val="27"/>
        </w:rPr>
        <w:t>Funding aspects</w:t>
      </w:r>
    </w:p>
    <w:p w:rsidR="006B464F" w:rsidRPr="006B464F" w:rsidRDefault="006B464F" w:rsidP="006B464F">
      <w:pPr>
        <w:numPr>
          <w:ilvl w:val="0"/>
          <w:numId w:val="7"/>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ECSC’s </w:t>
      </w:r>
      <w:r w:rsidRPr="006B464F">
        <w:rPr>
          <w:rFonts w:ascii="Times New Roman" w:eastAsia="Times New Roman" w:hAnsi="Times New Roman" w:cs="Times New Roman"/>
          <w:b/>
          <w:bCs/>
          <w:color w:val="000000"/>
          <w:sz w:val="27"/>
          <w:lang w:val="en-US"/>
        </w:rPr>
        <w:t>budget</w:t>
      </w:r>
      <w:r w:rsidRPr="006B464F">
        <w:rPr>
          <w:rFonts w:ascii="Times New Roman" w:eastAsia="Times New Roman" w:hAnsi="Times New Roman" w:cs="Times New Roman"/>
          <w:color w:val="000000"/>
          <w:sz w:val="27"/>
          <w:szCs w:val="27"/>
          <w:lang w:val="en-US"/>
        </w:rPr>
        <w:t> was funded by </w:t>
      </w:r>
      <w:r w:rsidRPr="006B464F">
        <w:rPr>
          <w:rFonts w:ascii="Times New Roman" w:eastAsia="Times New Roman" w:hAnsi="Times New Roman" w:cs="Times New Roman"/>
          <w:b/>
          <w:bCs/>
          <w:color w:val="000000"/>
          <w:sz w:val="27"/>
          <w:lang w:val="en-US"/>
        </w:rPr>
        <w:t>levies on coal and steel production</w:t>
      </w:r>
      <w:r w:rsidRPr="006B464F">
        <w:rPr>
          <w:rFonts w:ascii="Times New Roman" w:eastAsia="Times New Roman" w:hAnsi="Times New Roman" w:cs="Times New Roman"/>
          <w:color w:val="000000"/>
          <w:sz w:val="27"/>
          <w:szCs w:val="27"/>
          <w:lang w:val="en-US"/>
        </w:rPr>
        <w:t> and by contracting </w:t>
      </w:r>
      <w:r w:rsidRPr="006B464F">
        <w:rPr>
          <w:rFonts w:ascii="Times New Roman" w:eastAsia="Times New Roman" w:hAnsi="Times New Roman" w:cs="Times New Roman"/>
          <w:b/>
          <w:bCs/>
          <w:color w:val="000000"/>
          <w:sz w:val="27"/>
          <w:lang w:val="en-US"/>
        </w:rPr>
        <w:t>loans</w:t>
      </w:r>
      <w:r w:rsidRPr="006B464F">
        <w:rPr>
          <w:rFonts w:ascii="Times New Roman" w:eastAsia="Times New Roman" w:hAnsi="Times New Roman" w:cs="Times New Roman"/>
          <w:color w:val="000000"/>
          <w:sz w:val="27"/>
          <w:szCs w:val="27"/>
          <w:lang w:val="en-US"/>
        </w:rPr>
        <w:t xml:space="preserve">. The levies were intended to cover administrative </w:t>
      </w:r>
      <w:r w:rsidRPr="006B464F">
        <w:rPr>
          <w:rFonts w:ascii="Times New Roman" w:eastAsia="Times New Roman" w:hAnsi="Times New Roman" w:cs="Times New Roman"/>
          <w:color w:val="000000"/>
          <w:sz w:val="27"/>
          <w:szCs w:val="27"/>
          <w:lang w:val="en-US"/>
        </w:rPr>
        <w:lastRenderedPageBreak/>
        <w:t>expenditure, non-repayable aid towards retraining workers, and technical and economic research (which needed to be encouraged). Money received from borrowing could only be used to grant loans.</w:t>
      </w:r>
    </w:p>
    <w:p w:rsidR="006B464F" w:rsidRPr="006B464F" w:rsidRDefault="006B464F" w:rsidP="006B464F">
      <w:pPr>
        <w:numPr>
          <w:ilvl w:val="0"/>
          <w:numId w:val="7"/>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In the field of </w:t>
      </w:r>
      <w:r w:rsidRPr="006B464F">
        <w:rPr>
          <w:rFonts w:ascii="Times New Roman" w:eastAsia="Times New Roman" w:hAnsi="Times New Roman" w:cs="Times New Roman"/>
          <w:b/>
          <w:bCs/>
          <w:color w:val="000000"/>
          <w:sz w:val="27"/>
          <w:lang w:val="en-US"/>
        </w:rPr>
        <w:t>investment</w:t>
      </w:r>
      <w:r w:rsidRPr="006B464F">
        <w:rPr>
          <w:rFonts w:ascii="Times New Roman" w:eastAsia="Times New Roman" w:hAnsi="Times New Roman" w:cs="Times New Roman"/>
          <w:color w:val="000000"/>
          <w:sz w:val="27"/>
          <w:szCs w:val="27"/>
          <w:lang w:val="en-US"/>
        </w:rPr>
        <w:t>, in addition to granting loans, the ECSC could guarantee loans contracted by companies with third parties. The ECSC also had the power to provide guidance on investments which it did not fund.</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b/>
          <w:bCs/>
          <w:color w:val="000000"/>
          <w:sz w:val="27"/>
          <w:lang w:val="en-US"/>
        </w:rPr>
        <w:t>Production</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ECSC played a mainly </w:t>
      </w:r>
      <w:r w:rsidRPr="006B464F">
        <w:rPr>
          <w:rFonts w:ascii="Times New Roman" w:eastAsia="Times New Roman" w:hAnsi="Times New Roman" w:cs="Times New Roman"/>
          <w:b/>
          <w:bCs/>
          <w:color w:val="000000"/>
          <w:sz w:val="27"/>
          <w:lang w:val="en-US"/>
        </w:rPr>
        <w:t>indirect, subsidiary role</w:t>
      </w:r>
      <w:r w:rsidRPr="006B464F">
        <w:rPr>
          <w:rFonts w:ascii="Times New Roman" w:eastAsia="Times New Roman" w:hAnsi="Times New Roman" w:cs="Times New Roman"/>
          <w:color w:val="000000"/>
          <w:sz w:val="27"/>
          <w:szCs w:val="27"/>
          <w:lang w:val="en-US"/>
        </w:rPr>
        <w:t> through cooperation with governments and intervention in relation to prices and commercial policy. However, in the event of any decline in demand or shortage, it could take </w:t>
      </w:r>
      <w:r w:rsidRPr="006B464F">
        <w:rPr>
          <w:rFonts w:ascii="Times New Roman" w:eastAsia="Times New Roman" w:hAnsi="Times New Roman" w:cs="Times New Roman"/>
          <w:b/>
          <w:bCs/>
          <w:color w:val="000000"/>
          <w:sz w:val="27"/>
          <w:lang w:val="en-US"/>
        </w:rPr>
        <w:t>direct action</w:t>
      </w:r>
      <w:r w:rsidRPr="006B464F">
        <w:rPr>
          <w:rFonts w:ascii="Times New Roman" w:eastAsia="Times New Roman" w:hAnsi="Times New Roman" w:cs="Times New Roman"/>
          <w:color w:val="000000"/>
          <w:sz w:val="27"/>
          <w:szCs w:val="27"/>
          <w:lang w:val="en-US"/>
        </w:rPr>
        <w:t> by imposing </w:t>
      </w:r>
      <w:r w:rsidRPr="006B464F">
        <w:rPr>
          <w:rFonts w:ascii="Times New Roman" w:eastAsia="Times New Roman" w:hAnsi="Times New Roman" w:cs="Times New Roman"/>
          <w:b/>
          <w:bCs/>
          <w:color w:val="000000"/>
          <w:sz w:val="27"/>
          <w:lang w:val="en-US"/>
        </w:rPr>
        <w:t>quotas</w:t>
      </w:r>
      <w:r w:rsidRPr="006B464F">
        <w:rPr>
          <w:rFonts w:ascii="Times New Roman" w:eastAsia="Times New Roman" w:hAnsi="Times New Roman" w:cs="Times New Roman"/>
          <w:color w:val="000000"/>
          <w:sz w:val="27"/>
          <w:szCs w:val="27"/>
          <w:lang w:val="en-US"/>
        </w:rPr>
        <w:t> with the aim of limiting production in an organised manner or, for shortages, by drawing up production programmes setting consumption priorities, determining how resources should be allocated and setting export levels.</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rPr>
      </w:pPr>
      <w:r w:rsidRPr="006B464F">
        <w:rPr>
          <w:rFonts w:ascii="Times New Roman" w:eastAsia="Times New Roman" w:hAnsi="Times New Roman" w:cs="Times New Roman"/>
          <w:b/>
          <w:bCs/>
          <w:color w:val="000000"/>
          <w:sz w:val="27"/>
        </w:rPr>
        <w:t>Price-fixing and competition</w:t>
      </w:r>
    </w:p>
    <w:p w:rsidR="006B464F" w:rsidRPr="006B464F" w:rsidRDefault="006B464F" w:rsidP="006B464F">
      <w:pPr>
        <w:numPr>
          <w:ilvl w:val="0"/>
          <w:numId w:val="8"/>
        </w:numPr>
        <w:spacing w:before="240" w:after="240" w:line="240" w:lineRule="auto"/>
        <w:ind w:left="1200"/>
        <w:rPr>
          <w:rFonts w:ascii="Times New Roman" w:eastAsia="Times New Roman" w:hAnsi="Times New Roman" w:cs="Times New Roman"/>
          <w:color w:val="000000"/>
          <w:sz w:val="27"/>
          <w:szCs w:val="27"/>
        </w:rPr>
      </w:pPr>
      <w:r w:rsidRPr="006B464F">
        <w:rPr>
          <w:rFonts w:ascii="Times New Roman" w:eastAsia="Times New Roman" w:hAnsi="Times New Roman" w:cs="Times New Roman"/>
          <w:color w:val="000000"/>
          <w:sz w:val="27"/>
          <w:szCs w:val="27"/>
          <w:lang w:val="en-US"/>
        </w:rPr>
        <w:t>The treaty banned practices which created prejudice according to </w:t>
      </w:r>
      <w:r w:rsidRPr="006B464F">
        <w:rPr>
          <w:rFonts w:ascii="Times New Roman" w:eastAsia="Times New Roman" w:hAnsi="Times New Roman" w:cs="Times New Roman"/>
          <w:b/>
          <w:bCs/>
          <w:color w:val="000000"/>
          <w:sz w:val="27"/>
          <w:lang w:val="en-US"/>
        </w:rPr>
        <w:t>price</w:t>
      </w:r>
      <w:r w:rsidRPr="006B464F">
        <w:rPr>
          <w:rFonts w:ascii="Times New Roman" w:eastAsia="Times New Roman" w:hAnsi="Times New Roman" w:cs="Times New Roman"/>
          <w:color w:val="000000"/>
          <w:sz w:val="27"/>
          <w:szCs w:val="27"/>
          <w:lang w:val="en-US"/>
        </w:rPr>
        <w:t>, </w:t>
      </w:r>
      <w:r w:rsidRPr="006B464F">
        <w:rPr>
          <w:rFonts w:ascii="Times New Roman" w:eastAsia="Times New Roman" w:hAnsi="Times New Roman" w:cs="Times New Roman"/>
          <w:b/>
          <w:bCs/>
          <w:color w:val="000000"/>
          <w:sz w:val="27"/>
          <w:lang w:val="en-US"/>
        </w:rPr>
        <w:t>unfair competitive practices</w:t>
      </w:r>
      <w:r w:rsidRPr="006B464F">
        <w:rPr>
          <w:rFonts w:ascii="Times New Roman" w:eastAsia="Times New Roman" w:hAnsi="Times New Roman" w:cs="Times New Roman"/>
          <w:color w:val="000000"/>
          <w:sz w:val="27"/>
          <w:szCs w:val="27"/>
          <w:lang w:val="en-US"/>
        </w:rPr>
        <w:t> and </w:t>
      </w:r>
      <w:r w:rsidRPr="006B464F">
        <w:rPr>
          <w:rFonts w:ascii="Times New Roman" w:eastAsia="Times New Roman" w:hAnsi="Times New Roman" w:cs="Times New Roman"/>
          <w:b/>
          <w:bCs/>
          <w:color w:val="000000"/>
          <w:sz w:val="27"/>
          <w:lang w:val="en-US"/>
        </w:rPr>
        <w:t>discriminatory practices</w:t>
      </w:r>
      <w:r w:rsidRPr="006B464F">
        <w:rPr>
          <w:rFonts w:ascii="Times New Roman" w:eastAsia="Times New Roman" w:hAnsi="Times New Roman" w:cs="Times New Roman"/>
          <w:color w:val="000000"/>
          <w:sz w:val="27"/>
          <w:szCs w:val="27"/>
          <w:lang w:val="en-US"/>
        </w:rPr>
        <w:t xml:space="preserve"> involving the application of dissimilar conditions to comparable transactions. </w:t>
      </w:r>
      <w:r w:rsidRPr="006B464F">
        <w:rPr>
          <w:rFonts w:ascii="Times New Roman" w:eastAsia="Times New Roman" w:hAnsi="Times New Roman" w:cs="Times New Roman"/>
          <w:color w:val="000000"/>
          <w:sz w:val="27"/>
          <w:szCs w:val="27"/>
        </w:rPr>
        <w:t>These rules also applied to transport.</w:t>
      </w:r>
    </w:p>
    <w:p w:rsidR="006B464F" w:rsidRPr="006B464F" w:rsidRDefault="006B464F" w:rsidP="006B464F">
      <w:pPr>
        <w:numPr>
          <w:ilvl w:val="0"/>
          <w:numId w:val="8"/>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Furthermore, in certain circumstances, such as a manifest crisis, the High Authority could fix </w:t>
      </w:r>
      <w:r w:rsidRPr="006B464F">
        <w:rPr>
          <w:rFonts w:ascii="Times New Roman" w:eastAsia="Times New Roman" w:hAnsi="Times New Roman" w:cs="Times New Roman"/>
          <w:b/>
          <w:bCs/>
          <w:color w:val="000000"/>
          <w:sz w:val="27"/>
          <w:lang w:val="en-US"/>
        </w:rPr>
        <w:t>maximum or minimum prices</w:t>
      </w:r>
      <w:r w:rsidRPr="006B464F">
        <w:rPr>
          <w:rFonts w:ascii="Times New Roman" w:eastAsia="Times New Roman" w:hAnsi="Times New Roman" w:cs="Times New Roman"/>
          <w:color w:val="000000"/>
          <w:sz w:val="27"/>
          <w:szCs w:val="27"/>
          <w:lang w:val="en-US"/>
        </w:rPr>
        <w:t> either within the ECSC or in relation to the export market.</w:t>
      </w:r>
    </w:p>
    <w:p w:rsidR="006B464F" w:rsidRPr="006B464F" w:rsidRDefault="006B464F" w:rsidP="006B464F">
      <w:pPr>
        <w:numPr>
          <w:ilvl w:val="0"/>
          <w:numId w:val="8"/>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To ensure that free competition was respected, the High Authority had to be informed of any action by ECSC countries which was liable to endanger it. Furthermore, the treaty dealt specifically with the 3 cases which could distort competition:</w:t>
      </w:r>
    </w:p>
    <w:p w:rsidR="006B464F" w:rsidRPr="006B464F" w:rsidRDefault="006B464F" w:rsidP="006B464F">
      <w:pPr>
        <w:numPr>
          <w:ilvl w:val="1"/>
          <w:numId w:val="8"/>
        </w:numPr>
        <w:spacing w:before="240" w:after="240" w:line="240" w:lineRule="auto"/>
        <w:ind w:left="2400"/>
        <w:rPr>
          <w:rFonts w:ascii="Times New Roman" w:eastAsia="Times New Roman" w:hAnsi="Times New Roman" w:cs="Times New Roman"/>
          <w:color w:val="000000"/>
          <w:sz w:val="27"/>
          <w:szCs w:val="27"/>
        </w:rPr>
      </w:pPr>
      <w:r w:rsidRPr="006B464F">
        <w:rPr>
          <w:rFonts w:ascii="Times New Roman" w:eastAsia="Times New Roman" w:hAnsi="Times New Roman" w:cs="Times New Roman"/>
          <w:b/>
          <w:bCs/>
          <w:color w:val="000000"/>
          <w:sz w:val="27"/>
        </w:rPr>
        <w:t>agreements</w:t>
      </w:r>
      <w:r w:rsidRPr="006B464F">
        <w:rPr>
          <w:rFonts w:ascii="Times New Roman" w:eastAsia="Times New Roman" w:hAnsi="Times New Roman" w:cs="Times New Roman"/>
          <w:color w:val="000000"/>
          <w:sz w:val="27"/>
          <w:szCs w:val="27"/>
        </w:rPr>
        <w:t>,</w:t>
      </w:r>
    </w:p>
    <w:p w:rsidR="006B464F" w:rsidRPr="006B464F" w:rsidRDefault="006B464F" w:rsidP="006B464F">
      <w:pPr>
        <w:numPr>
          <w:ilvl w:val="1"/>
          <w:numId w:val="8"/>
        </w:numPr>
        <w:spacing w:before="240" w:after="240" w:line="240" w:lineRule="auto"/>
        <w:ind w:left="2400"/>
        <w:rPr>
          <w:rFonts w:ascii="Times New Roman" w:eastAsia="Times New Roman" w:hAnsi="Times New Roman" w:cs="Times New Roman"/>
          <w:color w:val="000000"/>
          <w:sz w:val="27"/>
          <w:szCs w:val="27"/>
        </w:rPr>
      </w:pPr>
      <w:r w:rsidRPr="006B464F">
        <w:rPr>
          <w:rFonts w:ascii="Times New Roman" w:eastAsia="Times New Roman" w:hAnsi="Times New Roman" w:cs="Times New Roman"/>
          <w:b/>
          <w:bCs/>
          <w:color w:val="000000"/>
          <w:sz w:val="27"/>
        </w:rPr>
        <w:t>concentrations</w:t>
      </w:r>
      <w:r w:rsidRPr="006B464F">
        <w:rPr>
          <w:rFonts w:ascii="Times New Roman" w:eastAsia="Times New Roman" w:hAnsi="Times New Roman" w:cs="Times New Roman"/>
          <w:color w:val="000000"/>
          <w:sz w:val="27"/>
          <w:szCs w:val="27"/>
        </w:rPr>
        <w:t> and</w:t>
      </w:r>
    </w:p>
    <w:p w:rsidR="006B464F" w:rsidRPr="006B464F" w:rsidRDefault="006B464F" w:rsidP="006B464F">
      <w:pPr>
        <w:numPr>
          <w:ilvl w:val="1"/>
          <w:numId w:val="8"/>
        </w:numPr>
        <w:spacing w:before="240" w:after="240" w:line="240" w:lineRule="auto"/>
        <w:ind w:left="2400"/>
        <w:rPr>
          <w:rFonts w:ascii="Times New Roman" w:eastAsia="Times New Roman" w:hAnsi="Times New Roman" w:cs="Times New Roman"/>
          <w:color w:val="000000"/>
          <w:sz w:val="27"/>
          <w:szCs w:val="27"/>
        </w:rPr>
      </w:pPr>
      <w:r w:rsidRPr="006B464F">
        <w:rPr>
          <w:rFonts w:ascii="Times New Roman" w:eastAsia="Times New Roman" w:hAnsi="Times New Roman" w:cs="Times New Roman"/>
          <w:b/>
          <w:bCs/>
          <w:color w:val="000000"/>
          <w:sz w:val="27"/>
        </w:rPr>
        <w:t>abuse of dominant positions</w:t>
      </w:r>
      <w:r w:rsidRPr="006B464F">
        <w:rPr>
          <w:rFonts w:ascii="Times New Roman" w:eastAsia="Times New Roman" w:hAnsi="Times New Roman" w:cs="Times New Roman"/>
          <w:color w:val="000000"/>
          <w:sz w:val="27"/>
          <w:szCs w:val="27"/>
        </w:rPr>
        <w:t>.</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Agreements or associations between undertakings could be cancelled by the High Authority if they directly or indirectly prevented, restricted or distorted normal competition.</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rPr>
      </w:pPr>
      <w:r w:rsidRPr="006B464F">
        <w:rPr>
          <w:rFonts w:ascii="Times New Roman" w:eastAsia="Times New Roman" w:hAnsi="Times New Roman" w:cs="Times New Roman"/>
          <w:b/>
          <w:bCs/>
          <w:color w:val="000000"/>
          <w:sz w:val="27"/>
        </w:rPr>
        <w:t>Worker aspects</w:t>
      </w:r>
    </w:p>
    <w:p w:rsidR="006B464F" w:rsidRPr="006B464F" w:rsidRDefault="006B464F" w:rsidP="006B464F">
      <w:pPr>
        <w:numPr>
          <w:ilvl w:val="0"/>
          <w:numId w:val="9"/>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Although workers’ </w:t>
      </w:r>
      <w:r w:rsidRPr="006B464F">
        <w:rPr>
          <w:rFonts w:ascii="Times New Roman" w:eastAsia="Times New Roman" w:hAnsi="Times New Roman" w:cs="Times New Roman"/>
          <w:b/>
          <w:bCs/>
          <w:color w:val="000000"/>
          <w:sz w:val="27"/>
          <w:lang w:val="en-US"/>
        </w:rPr>
        <w:t>wages</w:t>
      </w:r>
      <w:r w:rsidRPr="006B464F">
        <w:rPr>
          <w:rFonts w:ascii="Times New Roman" w:eastAsia="Times New Roman" w:hAnsi="Times New Roman" w:cs="Times New Roman"/>
          <w:color w:val="000000"/>
          <w:sz w:val="27"/>
          <w:szCs w:val="27"/>
          <w:lang w:val="en-US"/>
        </w:rPr>
        <w:t> remained within the jurisdiction of the ECSC countries, the High Authority could intervene, under certain conditions, in the event of </w:t>
      </w:r>
      <w:r w:rsidRPr="006B464F">
        <w:rPr>
          <w:rFonts w:ascii="Times New Roman" w:eastAsia="Times New Roman" w:hAnsi="Times New Roman" w:cs="Times New Roman"/>
          <w:b/>
          <w:bCs/>
          <w:color w:val="000000"/>
          <w:sz w:val="27"/>
          <w:lang w:val="en-US"/>
        </w:rPr>
        <w:t>abnormally low wages</w:t>
      </w:r>
      <w:r w:rsidRPr="006B464F">
        <w:rPr>
          <w:rFonts w:ascii="Times New Roman" w:eastAsia="Times New Roman" w:hAnsi="Times New Roman" w:cs="Times New Roman"/>
          <w:color w:val="000000"/>
          <w:sz w:val="27"/>
          <w:szCs w:val="27"/>
          <w:lang w:val="en-US"/>
        </w:rPr>
        <w:t> and </w:t>
      </w:r>
      <w:r w:rsidRPr="006B464F">
        <w:rPr>
          <w:rFonts w:ascii="Times New Roman" w:eastAsia="Times New Roman" w:hAnsi="Times New Roman" w:cs="Times New Roman"/>
          <w:b/>
          <w:bCs/>
          <w:color w:val="000000"/>
          <w:sz w:val="27"/>
          <w:lang w:val="en-US"/>
        </w:rPr>
        <w:t>wage reductions</w:t>
      </w:r>
      <w:r w:rsidRPr="006B464F">
        <w:rPr>
          <w:rFonts w:ascii="Times New Roman" w:eastAsia="Times New Roman" w:hAnsi="Times New Roman" w:cs="Times New Roman"/>
          <w:color w:val="000000"/>
          <w:sz w:val="27"/>
          <w:szCs w:val="27"/>
          <w:lang w:val="en-US"/>
        </w:rPr>
        <w:t>.</w:t>
      </w:r>
    </w:p>
    <w:p w:rsidR="006B464F" w:rsidRPr="006B464F" w:rsidRDefault="006B464F" w:rsidP="006B464F">
      <w:pPr>
        <w:numPr>
          <w:ilvl w:val="0"/>
          <w:numId w:val="9"/>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lastRenderedPageBreak/>
        <w:t>The High Authority could grant </w:t>
      </w:r>
      <w:r w:rsidRPr="006B464F">
        <w:rPr>
          <w:rFonts w:ascii="Times New Roman" w:eastAsia="Times New Roman" w:hAnsi="Times New Roman" w:cs="Times New Roman"/>
          <w:b/>
          <w:bCs/>
          <w:color w:val="000000"/>
          <w:sz w:val="27"/>
          <w:lang w:val="en-US"/>
        </w:rPr>
        <w:t>financial aid</w:t>
      </w:r>
      <w:r w:rsidRPr="006B464F">
        <w:rPr>
          <w:rFonts w:ascii="Times New Roman" w:eastAsia="Times New Roman" w:hAnsi="Times New Roman" w:cs="Times New Roman"/>
          <w:color w:val="000000"/>
          <w:sz w:val="27"/>
          <w:szCs w:val="27"/>
          <w:lang w:val="en-US"/>
        </w:rPr>
        <w:t> to programmes to </w:t>
      </w:r>
      <w:r w:rsidRPr="006B464F">
        <w:rPr>
          <w:rFonts w:ascii="Times New Roman" w:eastAsia="Times New Roman" w:hAnsi="Times New Roman" w:cs="Times New Roman"/>
          <w:b/>
          <w:bCs/>
          <w:color w:val="000000"/>
          <w:sz w:val="27"/>
          <w:lang w:val="en-US"/>
        </w:rPr>
        <w:t>offset the possible negative effects of technological advances</w:t>
      </w:r>
      <w:r w:rsidRPr="006B464F">
        <w:rPr>
          <w:rFonts w:ascii="Times New Roman" w:eastAsia="Times New Roman" w:hAnsi="Times New Roman" w:cs="Times New Roman"/>
          <w:color w:val="000000"/>
          <w:sz w:val="27"/>
          <w:szCs w:val="27"/>
          <w:lang w:val="en-US"/>
        </w:rPr>
        <w:t> in the industry on the workforce (compensation, allowances and vocational retraining).</w:t>
      </w:r>
    </w:p>
    <w:p w:rsidR="006B464F" w:rsidRPr="006B464F" w:rsidRDefault="006B464F" w:rsidP="006B464F">
      <w:pPr>
        <w:numPr>
          <w:ilvl w:val="0"/>
          <w:numId w:val="9"/>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As far as the movement of </w:t>
      </w:r>
      <w:r w:rsidRPr="006B464F">
        <w:rPr>
          <w:rFonts w:ascii="Times New Roman" w:eastAsia="Times New Roman" w:hAnsi="Times New Roman" w:cs="Times New Roman"/>
          <w:b/>
          <w:bCs/>
          <w:color w:val="000000"/>
          <w:sz w:val="27"/>
          <w:lang w:val="en-US"/>
        </w:rPr>
        <w:t>skilled workers</w:t>
      </w:r>
      <w:r w:rsidRPr="006B464F">
        <w:rPr>
          <w:rFonts w:ascii="Times New Roman" w:eastAsia="Times New Roman" w:hAnsi="Times New Roman" w:cs="Times New Roman"/>
          <w:color w:val="000000"/>
          <w:sz w:val="27"/>
          <w:szCs w:val="27"/>
          <w:lang w:val="en-US"/>
        </w:rPr>
        <w:t> was concerned, the ECSC countries had to </w:t>
      </w:r>
      <w:r w:rsidRPr="006B464F">
        <w:rPr>
          <w:rFonts w:ascii="Times New Roman" w:eastAsia="Times New Roman" w:hAnsi="Times New Roman" w:cs="Times New Roman"/>
          <w:b/>
          <w:bCs/>
          <w:color w:val="000000"/>
          <w:sz w:val="27"/>
          <w:lang w:val="en-US"/>
        </w:rPr>
        <w:t>remove restrictions on employment</w:t>
      </w:r>
      <w:r w:rsidRPr="006B464F">
        <w:rPr>
          <w:rFonts w:ascii="Times New Roman" w:eastAsia="Times New Roman" w:hAnsi="Times New Roman" w:cs="Times New Roman"/>
          <w:color w:val="000000"/>
          <w:sz w:val="27"/>
          <w:szCs w:val="27"/>
          <w:lang w:val="en-US"/>
        </w:rPr>
        <w:t> based on </w:t>
      </w:r>
      <w:r w:rsidRPr="006B464F">
        <w:rPr>
          <w:rFonts w:ascii="Times New Roman" w:eastAsia="Times New Roman" w:hAnsi="Times New Roman" w:cs="Times New Roman"/>
          <w:b/>
          <w:bCs/>
          <w:color w:val="000000"/>
          <w:sz w:val="27"/>
          <w:lang w:val="en-US"/>
        </w:rPr>
        <w:t>nationality</w:t>
      </w:r>
      <w:r w:rsidRPr="006B464F">
        <w:rPr>
          <w:rFonts w:ascii="Times New Roman" w:eastAsia="Times New Roman" w:hAnsi="Times New Roman" w:cs="Times New Roman"/>
          <w:color w:val="000000"/>
          <w:sz w:val="27"/>
          <w:szCs w:val="27"/>
          <w:lang w:val="en-US"/>
        </w:rPr>
        <w:t>. For the other categories of workers, and in the event of shortages of that type of labour, the countries were called upon to make the </w:t>
      </w:r>
      <w:r w:rsidRPr="006B464F">
        <w:rPr>
          <w:rFonts w:ascii="Times New Roman" w:eastAsia="Times New Roman" w:hAnsi="Times New Roman" w:cs="Times New Roman"/>
          <w:b/>
          <w:bCs/>
          <w:color w:val="000000"/>
          <w:sz w:val="27"/>
          <w:lang w:val="en-US"/>
        </w:rPr>
        <w:t>necessary adjustments to immigration rules</w:t>
      </w:r>
      <w:r w:rsidRPr="006B464F">
        <w:rPr>
          <w:rFonts w:ascii="Times New Roman" w:eastAsia="Times New Roman" w:hAnsi="Times New Roman" w:cs="Times New Roman"/>
          <w:color w:val="000000"/>
          <w:sz w:val="27"/>
          <w:szCs w:val="27"/>
          <w:lang w:val="en-US"/>
        </w:rPr>
        <w:t> to enable workers from other countries to be employed.</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rPr>
      </w:pPr>
      <w:r w:rsidRPr="006B464F">
        <w:rPr>
          <w:rFonts w:ascii="Times New Roman" w:eastAsia="Times New Roman" w:hAnsi="Times New Roman" w:cs="Times New Roman"/>
          <w:b/>
          <w:bCs/>
          <w:color w:val="000000"/>
          <w:sz w:val="27"/>
        </w:rPr>
        <w:t>Commercial policy</w:t>
      </w:r>
    </w:p>
    <w:p w:rsidR="006B464F" w:rsidRPr="006B464F" w:rsidRDefault="006B464F" w:rsidP="006B464F">
      <w:pPr>
        <w:numPr>
          <w:ilvl w:val="0"/>
          <w:numId w:val="10"/>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treaty also dealt with the commercial policy of the ECSC towards non-ECSC countries. Although the powers of national governments remained in place, the ECSC had a number of powers such as setting maximum and minimum rates for </w:t>
      </w:r>
      <w:r w:rsidRPr="006B464F">
        <w:rPr>
          <w:rFonts w:ascii="Times New Roman" w:eastAsia="Times New Roman" w:hAnsi="Times New Roman" w:cs="Times New Roman"/>
          <w:b/>
          <w:bCs/>
          <w:color w:val="000000"/>
          <w:sz w:val="27"/>
          <w:lang w:val="en-US"/>
        </w:rPr>
        <w:t>customs duties</w:t>
      </w:r>
      <w:r w:rsidRPr="006B464F">
        <w:rPr>
          <w:rFonts w:ascii="Times New Roman" w:eastAsia="Times New Roman" w:hAnsi="Times New Roman" w:cs="Times New Roman"/>
          <w:color w:val="000000"/>
          <w:sz w:val="27"/>
          <w:szCs w:val="27"/>
          <w:lang w:val="en-US"/>
        </w:rPr>
        <w:t> and supervising the granting of </w:t>
      </w:r>
      <w:r w:rsidRPr="006B464F">
        <w:rPr>
          <w:rFonts w:ascii="Times New Roman" w:eastAsia="Times New Roman" w:hAnsi="Times New Roman" w:cs="Times New Roman"/>
          <w:b/>
          <w:bCs/>
          <w:color w:val="000000"/>
          <w:sz w:val="27"/>
          <w:lang w:val="en-US"/>
        </w:rPr>
        <w:t>import and export licences</w:t>
      </w:r>
      <w:r w:rsidRPr="006B464F">
        <w:rPr>
          <w:rFonts w:ascii="Times New Roman" w:eastAsia="Times New Roman" w:hAnsi="Times New Roman" w:cs="Times New Roman"/>
          <w:color w:val="000000"/>
          <w:sz w:val="27"/>
          <w:szCs w:val="27"/>
          <w:lang w:val="en-US"/>
        </w:rPr>
        <w:t>. The ECSC also had the right to be kept informed of </w:t>
      </w:r>
      <w:r w:rsidRPr="006B464F">
        <w:rPr>
          <w:rFonts w:ascii="Times New Roman" w:eastAsia="Times New Roman" w:hAnsi="Times New Roman" w:cs="Times New Roman"/>
          <w:b/>
          <w:bCs/>
          <w:color w:val="000000"/>
          <w:sz w:val="27"/>
          <w:lang w:val="en-US"/>
        </w:rPr>
        <w:t>commercial agreements</w:t>
      </w:r>
      <w:r w:rsidRPr="006B464F">
        <w:rPr>
          <w:rFonts w:ascii="Times New Roman" w:eastAsia="Times New Roman" w:hAnsi="Times New Roman" w:cs="Times New Roman"/>
          <w:color w:val="000000"/>
          <w:sz w:val="27"/>
          <w:szCs w:val="27"/>
          <w:lang w:val="en-US"/>
        </w:rPr>
        <w:t> relating to coal and steel.</w:t>
      </w:r>
    </w:p>
    <w:p w:rsidR="006B464F" w:rsidRPr="006B464F" w:rsidRDefault="006B464F" w:rsidP="006B464F">
      <w:pPr>
        <w:numPr>
          <w:ilvl w:val="0"/>
          <w:numId w:val="10"/>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High Authority could also intervene in the event of </w:t>
      </w:r>
      <w:r w:rsidRPr="006B464F">
        <w:rPr>
          <w:rFonts w:ascii="Times New Roman" w:eastAsia="Times New Roman" w:hAnsi="Times New Roman" w:cs="Times New Roman"/>
          <w:b/>
          <w:bCs/>
          <w:color w:val="000000"/>
          <w:sz w:val="27"/>
          <w:lang w:val="en-US"/>
        </w:rPr>
        <w:t>dumping</w:t>
      </w:r>
      <w:r w:rsidRPr="006B464F">
        <w:rPr>
          <w:rFonts w:ascii="Times New Roman" w:eastAsia="Times New Roman" w:hAnsi="Times New Roman" w:cs="Times New Roman"/>
          <w:color w:val="000000"/>
          <w:sz w:val="27"/>
          <w:szCs w:val="27"/>
          <w:lang w:val="en-US"/>
        </w:rPr>
        <w:t>, i.e. the use by coal and steel businesses outside the jurisdiction of the ECSC of means of competition contrary to the treaty and substantial increases in imports which could seriously threaten ECSC production.</w:t>
      </w:r>
    </w:p>
    <w:p w:rsidR="006B464F" w:rsidRPr="006B464F" w:rsidRDefault="006B464F" w:rsidP="006B464F">
      <w:pPr>
        <w:spacing w:before="326" w:after="163" w:line="240" w:lineRule="auto"/>
        <w:rPr>
          <w:rFonts w:ascii="Times New Roman" w:eastAsia="Times New Roman" w:hAnsi="Times New Roman" w:cs="Times New Roman"/>
          <w:b/>
          <w:bCs/>
          <w:color w:val="000000"/>
          <w:sz w:val="27"/>
          <w:szCs w:val="27"/>
          <w:lang w:val="en-US"/>
        </w:rPr>
      </w:pPr>
      <w:r w:rsidRPr="006B464F">
        <w:rPr>
          <w:rFonts w:ascii="Times New Roman" w:eastAsia="Times New Roman" w:hAnsi="Times New Roman" w:cs="Times New Roman"/>
          <w:b/>
          <w:bCs/>
          <w:color w:val="000000"/>
          <w:sz w:val="27"/>
          <w:szCs w:val="27"/>
          <w:lang w:val="en-US"/>
        </w:rPr>
        <w:t>FROM WHEN DID THE TREATY APPLY?</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The treaty applied from 1952, it was valid for 50 years and expired in 2002. The common market created by the treaty opened on 10 February 1953 for coal, iron ore and scrap and on 1 May 1953 for steel.</w:t>
      </w:r>
    </w:p>
    <w:p w:rsidR="006B464F" w:rsidRPr="006B464F" w:rsidRDefault="006B464F" w:rsidP="006B464F">
      <w:pPr>
        <w:spacing w:before="326" w:after="163" w:line="240" w:lineRule="auto"/>
        <w:rPr>
          <w:rFonts w:ascii="Times New Roman" w:eastAsia="Times New Roman" w:hAnsi="Times New Roman" w:cs="Times New Roman"/>
          <w:b/>
          <w:bCs/>
          <w:color w:val="000000"/>
          <w:sz w:val="27"/>
          <w:szCs w:val="27"/>
        </w:rPr>
      </w:pPr>
      <w:r w:rsidRPr="006B464F">
        <w:rPr>
          <w:rFonts w:ascii="Times New Roman" w:eastAsia="Times New Roman" w:hAnsi="Times New Roman" w:cs="Times New Roman"/>
          <w:b/>
          <w:bCs/>
          <w:color w:val="000000"/>
          <w:sz w:val="27"/>
          <w:szCs w:val="27"/>
        </w:rPr>
        <w:t>BACKGROUND</w:t>
      </w:r>
    </w:p>
    <w:p w:rsidR="006B464F" w:rsidRPr="006B464F" w:rsidRDefault="006B464F" w:rsidP="006B464F">
      <w:pPr>
        <w:numPr>
          <w:ilvl w:val="0"/>
          <w:numId w:val="11"/>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Before its expiry, the treaty was amended on various occasions by the following treaties:</w:t>
      </w:r>
    </w:p>
    <w:p w:rsidR="006B464F" w:rsidRPr="006B464F" w:rsidRDefault="006B464F" w:rsidP="006B464F">
      <w:pPr>
        <w:numPr>
          <w:ilvl w:val="1"/>
          <w:numId w:val="11"/>
        </w:numPr>
        <w:spacing w:before="240" w:after="240" w:line="240" w:lineRule="auto"/>
        <w:ind w:left="2400"/>
        <w:rPr>
          <w:rFonts w:ascii="Times New Roman" w:eastAsia="Times New Roman" w:hAnsi="Times New Roman" w:cs="Times New Roman"/>
          <w:color w:val="000000"/>
          <w:sz w:val="27"/>
          <w:szCs w:val="27"/>
          <w:lang w:val="en-US"/>
        </w:rPr>
      </w:pPr>
      <w:hyperlink r:id="rId15" w:history="1">
        <w:r w:rsidRPr="006B464F">
          <w:rPr>
            <w:rFonts w:ascii="Times New Roman" w:eastAsia="Times New Roman" w:hAnsi="Times New Roman" w:cs="Times New Roman"/>
            <w:color w:val="0000FF"/>
            <w:sz w:val="27"/>
            <w:u w:val="single"/>
            <w:lang w:val="en-US"/>
          </w:rPr>
          <w:t>Merger Treaty</w:t>
        </w:r>
      </w:hyperlink>
      <w:r w:rsidRPr="006B464F">
        <w:rPr>
          <w:rFonts w:ascii="Times New Roman" w:eastAsia="Times New Roman" w:hAnsi="Times New Roman" w:cs="Times New Roman"/>
          <w:color w:val="000000"/>
          <w:sz w:val="27"/>
          <w:szCs w:val="27"/>
          <w:lang w:val="en-US"/>
        </w:rPr>
        <w:t> (Brussels 1965) — which merged the executives of the ECSC, European Economic Community (EEC) and Euratom;</w:t>
      </w:r>
    </w:p>
    <w:p w:rsidR="006B464F" w:rsidRPr="006B464F" w:rsidRDefault="006B464F" w:rsidP="006B464F">
      <w:pPr>
        <w:numPr>
          <w:ilvl w:val="1"/>
          <w:numId w:val="11"/>
        </w:numPr>
        <w:spacing w:before="240" w:after="240" w:line="240" w:lineRule="auto"/>
        <w:ind w:left="24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Treaties amending certain financial provisions (1970 and 1975);</w:t>
      </w:r>
    </w:p>
    <w:p w:rsidR="006B464F" w:rsidRPr="006B464F" w:rsidRDefault="006B464F" w:rsidP="006B464F">
      <w:pPr>
        <w:numPr>
          <w:ilvl w:val="1"/>
          <w:numId w:val="11"/>
        </w:numPr>
        <w:spacing w:before="240" w:after="240" w:line="240" w:lineRule="auto"/>
        <w:ind w:left="2400"/>
        <w:rPr>
          <w:rFonts w:ascii="Times New Roman" w:eastAsia="Times New Roman" w:hAnsi="Times New Roman" w:cs="Times New Roman"/>
          <w:color w:val="000000"/>
          <w:sz w:val="27"/>
          <w:szCs w:val="27"/>
        </w:rPr>
      </w:pPr>
      <w:hyperlink r:id="rId16" w:history="1">
        <w:r w:rsidRPr="006B464F">
          <w:rPr>
            <w:rFonts w:ascii="Times New Roman" w:eastAsia="Times New Roman" w:hAnsi="Times New Roman" w:cs="Times New Roman"/>
            <w:color w:val="0000FF"/>
            <w:sz w:val="27"/>
            <w:u w:val="single"/>
          </w:rPr>
          <w:t>Treaty on Greenland</w:t>
        </w:r>
      </w:hyperlink>
      <w:r w:rsidRPr="006B464F">
        <w:rPr>
          <w:rFonts w:ascii="Times New Roman" w:eastAsia="Times New Roman" w:hAnsi="Times New Roman" w:cs="Times New Roman"/>
          <w:color w:val="000000"/>
          <w:sz w:val="27"/>
          <w:szCs w:val="27"/>
        </w:rPr>
        <w:t> (1984);</w:t>
      </w:r>
    </w:p>
    <w:p w:rsidR="006B464F" w:rsidRPr="006B464F" w:rsidRDefault="006B464F" w:rsidP="006B464F">
      <w:pPr>
        <w:numPr>
          <w:ilvl w:val="1"/>
          <w:numId w:val="11"/>
        </w:numPr>
        <w:spacing w:before="240" w:after="240" w:line="240" w:lineRule="auto"/>
        <w:ind w:left="2400"/>
        <w:rPr>
          <w:rFonts w:ascii="Times New Roman" w:eastAsia="Times New Roman" w:hAnsi="Times New Roman" w:cs="Times New Roman"/>
          <w:color w:val="000000"/>
          <w:sz w:val="27"/>
          <w:szCs w:val="27"/>
          <w:lang w:val="en-US"/>
        </w:rPr>
      </w:pPr>
      <w:hyperlink r:id="rId17" w:history="1">
        <w:r w:rsidRPr="006B464F">
          <w:rPr>
            <w:rFonts w:ascii="Times New Roman" w:eastAsia="Times New Roman" w:hAnsi="Times New Roman" w:cs="Times New Roman"/>
            <w:color w:val="0000FF"/>
            <w:sz w:val="27"/>
            <w:u w:val="single"/>
            <w:lang w:val="en-US"/>
          </w:rPr>
          <w:t>Treaty on European Union</w:t>
        </w:r>
      </w:hyperlink>
      <w:r w:rsidRPr="006B464F">
        <w:rPr>
          <w:rFonts w:ascii="Times New Roman" w:eastAsia="Times New Roman" w:hAnsi="Times New Roman" w:cs="Times New Roman"/>
          <w:color w:val="000000"/>
          <w:sz w:val="27"/>
          <w:szCs w:val="27"/>
          <w:lang w:val="en-US"/>
        </w:rPr>
        <w:t> (TEU, Maastricht, 1992);</w:t>
      </w:r>
    </w:p>
    <w:p w:rsidR="006B464F" w:rsidRPr="006B464F" w:rsidRDefault="006B464F" w:rsidP="006B464F">
      <w:pPr>
        <w:numPr>
          <w:ilvl w:val="1"/>
          <w:numId w:val="11"/>
        </w:numPr>
        <w:spacing w:before="240" w:after="240" w:line="240" w:lineRule="auto"/>
        <w:ind w:left="2400"/>
        <w:rPr>
          <w:rFonts w:ascii="Times New Roman" w:eastAsia="Times New Roman" w:hAnsi="Times New Roman" w:cs="Times New Roman"/>
          <w:color w:val="000000"/>
          <w:sz w:val="27"/>
          <w:szCs w:val="27"/>
        </w:rPr>
      </w:pPr>
      <w:hyperlink r:id="rId18" w:history="1">
        <w:r w:rsidRPr="006B464F">
          <w:rPr>
            <w:rFonts w:ascii="Times New Roman" w:eastAsia="Times New Roman" w:hAnsi="Times New Roman" w:cs="Times New Roman"/>
            <w:color w:val="0000FF"/>
            <w:sz w:val="27"/>
            <w:u w:val="single"/>
          </w:rPr>
          <w:t>Single European Act</w:t>
        </w:r>
      </w:hyperlink>
      <w:r w:rsidRPr="006B464F">
        <w:rPr>
          <w:rFonts w:ascii="Times New Roman" w:eastAsia="Times New Roman" w:hAnsi="Times New Roman" w:cs="Times New Roman"/>
          <w:color w:val="000000"/>
          <w:sz w:val="27"/>
          <w:szCs w:val="27"/>
        </w:rPr>
        <w:t> (1986);</w:t>
      </w:r>
    </w:p>
    <w:p w:rsidR="006B464F" w:rsidRPr="006B464F" w:rsidRDefault="006B464F" w:rsidP="006B464F">
      <w:pPr>
        <w:numPr>
          <w:ilvl w:val="1"/>
          <w:numId w:val="11"/>
        </w:numPr>
        <w:spacing w:before="240" w:after="240" w:line="240" w:lineRule="auto"/>
        <w:ind w:left="2400"/>
        <w:rPr>
          <w:rFonts w:ascii="Times New Roman" w:eastAsia="Times New Roman" w:hAnsi="Times New Roman" w:cs="Times New Roman"/>
          <w:color w:val="000000"/>
          <w:sz w:val="27"/>
          <w:szCs w:val="27"/>
        </w:rPr>
      </w:pPr>
      <w:hyperlink r:id="rId19" w:history="1">
        <w:r w:rsidRPr="006B464F">
          <w:rPr>
            <w:rFonts w:ascii="Times New Roman" w:eastAsia="Times New Roman" w:hAnsi="Times New Roman" w:cs="Times New Roman"/>
            <w:color w:val="0000FF"/>
            <w:sz w:val="27"/>
            <w:u w:val="single"/>
          </w:rPr>
          <w:t>Treaty of Amsterdam</w:t>
        </w:r>
      </w:hyperlink>
      <w:r w:rsidRPr="006B464F">
        <w:rPr>
          <w:rFonts w:ascii="Times New Roman" w:eastAsia="Times New Roman" w:hAnsi="Times New Roman" w:cs="Times New Roman"/>
          <w:color w:val="000000"/>
          <w:sz w:val="27"/>
          <w:szCs w:val="27"/>
        </w:rPr>
        <w:t> (1997);</w:t>
      </w:r>
    </w:p>
    <w:p w:rsidR="006B464F" w:rsidRPr="006B464F" w:rsidRDefault="006B464F" w:rsidP="006B464F">
      <w:pPr>
        <w:numPr>
          <w:ilvl w:val="1"/>
          <w:numId w:val="11"/>
        </w:numPr>
        <w:spacing w:before="240" w:after="240" w:line="240" w:lineRule="auto"/>
        <w:ind w:left="2400"/>
        <w:rPr>
          <w:rFonts w:ascii="Times New Roman" w:eastAsia="Times New Roman" w:hAnsi="Times New Roman" w:cs="Times New Roman"/>
          <w:color w:val="000000"/>
          <w:sz w:val="27"/>
          <w:szCs w:val="27"/>
        </w:rPr>
      </w:pPr>
      <w:hyperlink r:id="rId20" w:history="1">
        <w:r w:rsidRPr="006B464F">
          <w:rPr>
            <w:rFonts w:ascii="Times New Roman" w:eastAsia="Times New Roman" w:hAnsi="Times New Roman" w:cs="Times New Roman"/>
            <w:color w:val="0000FF"/>
            <w:sz w:val="27"/>
            <w:u w:val="single"/>
          </w:rPr>
          <w:t>Treaty of Nice</w:t>
        </w:r>
      </w:hyperlink>
      <w:r w:rsidRPr="006B464F">
        <w:rPr>
          <w:rFonts w:ascii="Times New Roman" w:eastAsia="Times New Roman" w:hAnsi="Times New Roman" w:cs="Times New Roman"/>
          <w:color w:val="000000"/>
          <w:sz w:val="27"/>
          <w:szCs w:val="27"/>
        </w:rPr>
        <w:t> (2001); and the</w:t>
      </w:r>
    </w:p>
    <w:p w:rsidR="006B464F" w:rsidRPr="006B464F" w:rsidRDefault="006B464F" w:rsidP="006B464F">
      <w:pPr>
        <w:numPr>
          <w:ilvl w:val="1"/>
          <w:numId w:val="11"/>
        </w:numPr>
        <w:spacing w:before="240" w:after="240" w:line="240" w:lineRule="auto"/>
        <w:ind w:left="24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Treaties of Accession (1972 (</w:t>
      </w:r>
      <w:hyperlink r:id="rId21" w:history="1">
        <w:r w:rsidRPr="006B464F">
          <w:rPr>
            <w:rFonts w:ascii="Times New Roman" w:eastAsia="Times New Roman" w:hAnsi="Times New Roman" w:cs="Times New Roman"/>
            <w:color w:val="0000FF"/>
            <w:sz w:val="27"/>
            <w:u w:val="single"/>
            <w:lang w:val="en-US"/>
          </w:rPr>
          <w:t>Denmark, Ireland &amp; the UK</w:t>
        </w:r>
      </w:hyperlink>
      <w:r w:rsidRPr="006B464F">
        <w:rPr>
          <w:rFonts w:ascii="Times New Roman" w:eastAsia="Times New Roman" w:hAnsi="Times New Roman" w:cs="Times New Roman"/>
          <w:color w:val="000000"/>
          <w:sz w:val="27"/>
          <w:szCs w:val="27"/>
          <w:lang w:val="en-US"/>
        </w:rPr>
        <w:t>), 1979 (</w:t>
      </w:r>
      <w:hyperlink r:id="rId22" w:history="1">
        <w:r w:rsidRPr="006B464F">
          <w:rPr>
            <w:rFonts w:ascii="Times New Roman" w:eastAsia="Times New Roman" w:hAnsi="Times New Roman" w:cs="Times New Roman"/>
            <w:color w:val="0000FF"/>
            <w:sz w:val="27"/>
            <w:u w:val="single"/>
            <w:lang w:val="en-US"/>
          </w:rPr>
          <w:t>Greece</w:t>
        </w:r>
      </w:hyperlink>
      <w:r w:rsidRPr="006B464F">
        <w:rPr>
          <w:rFonts w:ascii="Times New Roman" w:eastAsia="Times New Roman" w:hAnsi="Times New Roman" w:cs="Times New Roman"/>
          <w:color w:val="000000"/>
          <w:sz w:val="27"/>
          <w:szCs w:val="27"/>
          <w:lang w:val="en-US"/>
        </w:rPr>
        <w:t>), 1985 (</w:t>
      </w:r>
      <w:hyperlink r:id="rId23" w:history="1">
        <w:r w:rsidRPr="006B464F">
          <w:rPr>
            <w:rFonts w:ascii="Times New Roman" w:eastAsia="Times New Roman" w:hAnsi="Times New Roman" w:cs="Times New Roman"/>
            <w:color w:val="0000FF"/>
            <w:sz w:val="27"/>
            <w:u w:val="single"/>
            <w:lang w:val="en-US"/>
          </w:rPr>
          <w:t>Spain &amp; Portugal</w:t>
        </w:r>
      </w:hyperlink>
      <w:r w:rsidRPr="006B464F">
        <w:rPr>
          <w:rFonts w:ascii="Times New Roman" w:eastAsia="Times New Roman" w:hAnsi="Times New Roman" w:cs="Times New Roman"/>
          <w:color w:val="000000"/>
          <w:sz w:val="27"/>
          <w:szCs w:val="27"/>
          <w:lang w:val="en-US"/>
        </w:rPr>
        <w:t>) and 1994 (</w:t>
      </w:r>
      <w:hyperlink r:id="rId24" w:history="1">
        <w:r w:rsidRPr="006B464F">
          <w:rPr>
            <w:rFonts w:ascii="Times New Roman" w:eastAsia="Times New Roman" w:hAnsi="Times New Roman" w:cs="Times New Roman"/>
            <w:color w:val="0000FF"/>
            <w:sz w:val="27"/>
            <w:u w:val="single"/>
            <w:lang w:val="en-US"/>
          </w:rPr>
          <w:t>Austria, Finland &amp; Sweden</w:t>
        </w:r>
      </w:hyperlink>
      <w:r w:rsidRPr="006B464F">
        <w:rPr>
          <w:rFonts w:ascii="Times New Roman" w:eastAsia="Times New Roman" w:hAnsi="Times New Roman" w:cs="Times New Roman"/>
          <w:color w:val="000000"/>
          <w:sz w:val="27"/>
          <w:szCs w:val="27"/>
          <w:lang w:val="en-US"/>
        </w:rPr>
        <w:t>).</w:t>
      </w:r>
    </w:p>
    <w:p w:rsidR="006B464F" w:rsidRPr="006B464F" w:rsidRDefault="006B464F" w:rsidP="006B464F">
      <w:pPr>
        <w:numPr>
          <w:ilvl w:val="0"/>
          <w:numId w:val="11"/>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When the ECSC Treaty expired, rules on the coal and steel sectors were integrated in the treaties establishing the European Community, the </w:t>
      </w:r>
      <w:hyperlink r:id="rId25" w:history="1">
        <w:r w:rsidRPr="006B464F">
          <w:rPr>
            <w:rFonts w:ascii="Times New Roman" w:eastAsia="Times New Roman" w:hAnsi="Times New Roman" w:cs="Times New Roman"/>
            <w:color w:val="0000FF"/>
            <w:sz w:val="27"/>
            <w:u w:val="single"/>
            <w:lang w:val="en-US"/>
          </w:rPr>
          <w:t>Treaty of Rome</w:t>
        </w:r>
      </w:hyperlink>
      <w:r w:rsidRPr="006B464F">
        <w:rPr>
          <w:rFonts w:ascii="Times New Roman" w:eastAsia="Times New Roman" w:hAnsi="Times New Roman" w:cs="Times New Roman"/>
          <w:color w:val="000000"/>
          <w:sz w:val="27"/>
          <w:szCs w:val="27"/>
          <w:lang w:val="en-US"/>
        </w:rPr>
        <w:t>.</w:t>
      </w:r>
    </w:p>
    <w:p w:rsidR="006B464F" w:rsidRPr="006B464F" w:rsidRDefault="006B464F" w:rsidP="006B464F">
      <w:pPr>
        <w:numPr>
          <w:ilvl w:val="0"/>
          <w:numId w:val="11"/>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A protocol on the financial consequences of the expiry of the ECSC Treaty and on the research fund for coal and steel is annexed to the Treaty of Nice. This protocol provides for the transfer of all assets and liabilities of the ECSC to the European Community and for the use of the net worth of these assets and liabilities for research in the sectors related to the coal and steel industry.</w:t>
      </w:r>
    </w:p>
    <w:p w:rsidR="006B464F" w:rsidRPr="006B464F" w:rsidRDefault="006B464F" w:rsidP="006B464F">
      <w:pPr>
        <w:numPr>
          <w:ilvl w:val="0"/>
          <w:numId w:val="11"/>
        </w:numPr>
        <w:spacing w:before="240" w:after="240" w:line="240" w:lineRule="auto"/>
        <w:ind w:left="1200"/>
        <w:rPr>
          <w:rFonts w:ascii="Times New Roman" w:eastAsia="Times New Roman" w:hAnsi="Times New Roman" w:cs="Times New Roman"/>
          <w:color w:val="000000"/>
          <w:sz w:val="27"/>
          <w:szCs w:val="27"/>
          <w:lang w:val="en-US"/>
        </w:rPr>
      </w:pPr>
      <w:r w:rsidRPr="006B464F">
        <w:rPr>
          <w:rFonts w:ascii="Times New Roman" w:eastAsia="Times New Roman" w:hAnsi="Times New Roman" w:cs="Times New Roman"/>
          <w:color w:val="000000"/>
          <w:sz w:val="27"/>
          <w:szCs w:val="27"/>
          <w:lang w:val="en-US"/>
        </w:rPr>
        <w:t>Some decisions of February 2003 contain the necessary measures for the implementation of the articles of the protocol, the financial guidelines and the articles relating to the research fund for coal and steel.</w:t>
      </w:r>
    </w:p>
    <w:p w:rsidR="006B464F" w:rsidRPr="006B464F" w:rsidRDefault="006B464F" w:rsidP="006B464F">
      <w:pPr>
        <w:spacing w:before="326" w:after="163" w:line="240" w:lineRule="auto"/>
        <w:rPr>
          <w:rFonts w:ascii="Times New Roman" w:eastAsia="Times New Roman" w:hAnsi="Times New Roman" w:cs="Times New Roman"/>
          <w:b/>
          <w:bCs/>
          <w:color w:val="000000"/>
          <w:sz w:val="27"/>
          <w:szCs w:val="27"/>
          <w:lang w:val="en-US"/>
        </w:rPr>
      </w:pPr>
      <w:r w:rsidRPr="006B464F">
        <w:rPr>
          <w:rFonts w:ascii="Times New Roman" w:eastAsia="Times New Roman" w:hAnsi="Times New Roman" w:cs="Times New Roman"/>
          <w:b/>
          <w:bCs/>
          <w:color w:val="000000"/>
          <w:sz w:val="27"/>
          <w:szCs w:val="27"/>
          <w:lang w:val="en-US"/>
        </w:rPr>
        <w:t>MAIN DOCUMENT</w:t>
      </w:r>
    </w:p>
    <w:p w:rsidR="006B464F" w:rsidRPr="006B464F" w:rsidRDefault="006B464F" w:rsidP="006B464F">
      <w:pPr>
        <w:spacing w:before="163" w:after="0" w:line="240" w:lineRule="auto"/>
        <w:jc w:val="both"/>
        <w:rPr>
          <w:rFonts w:ascii="Times New Roman" w:eastAsia="Times New Roman" w:hAnsi="Times New Roman" w:cs="Times New Roman"/>
          <w:color w:val="000000"/>
          <w:sz w:val="27"/>
          <w:szCs w:val="27"/>
          <w:lang w:val="en-US"/>
        </w:rPr>
      </w:pPr>
      <w:hyperlink r:id="rId26" w:history="1">
        <w:r w:rsidRPr="006B464F">
          <w:rPr>
            <w:rFonts w:ascii="Times New Roman" w:eastAsia="Times New Roman" w:hAnsi="Times New Roman" w:cs="Times New Roman"/>
            <w:color w:val="0000FF"/>
            <w:sz w:val="27"/>
            <w:u w:val="single"/>
            <w:lang w:val="en-US"/>
          </w:rPr>
          <w:t>Treaty establishing the European Coal and Steel Community</w:t>
        </w:r>
      </w:hyperlink>
    </w:p>
    <w:p w:rsidR="005C53BA" w:rsidRPr="006B464F" w:rsidRDefault="005C53BA">
      <w:pPr>
        <w:rPr>
          <w:lang w:val="en-US"/>
        </w:rPr>
      </w:pPr>
    </w:p>
    <w:sectPr w:rsidR="005C53BA" w:rsidRPr="006B464F">
      <w:footerReference w:type="default" r:id="rId27"/>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53BA" w:rsidRDefault="005C53BA" w:rsidP="006B464F">
      <w:pPr>
        <w:spacing w:after="0" w:line="240" w:lineRule="auto"/>
      </w:pPr>
      <w:r>
        <w:separator/>
      </w:r>
    </w:p>
  </w:endnote>
  <w:endnote w:type="continuationSeparator" w:id="1">
    <w:p w:rsidR="005C53BA" w:rsidRDefault="005C53BA" w:rsidP="006B46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312512"/>
      <w:docPartObj>
        <w:docPartGallery w:val="Page Numbers (Bottom of Page)"/>
        <w:docPartUnique/>
      </w:docPartObj>
    </w:sdtPr>
    <w:sdtContent>
      <w:p w:rsidR="006B464F" w:rsidRDefault="006B464F">
        <w:pPr>
          <w:pStyle w:val="Pidipagina"/>
          <w:jc w:val="center"/>
        </w:pPr>
        <w:fldSimple w:instr=" PAGE   \* MERGEFORMAT ">
          <w:r>
            <w:rPr>
              <w:noProof/>
            </w:rPr>
            <w:t>6</w:t>
          </w:r>
        </w:fldSimple>
      </w:p>
    </w:sdtContent>
  </w:sdt>
  <w:p w:rsidR="006B464F" w:rsidRDefault="006B464F">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53BA" w:rsidRDefault="005C53BA" w:rsidP="006B464F">
      <w:pPr>
        <w:spacing w:after="0" w:line="240" w:lineRule="auto"/>
      </w:pPr>
      <w:r>
        <w:separator/>
      </w:r>
    </w:p>
  </w:footnote>
  <w:footnote w:type="continuationSeparator" w:id="1">
    <w:p w:rsidR="005C53BA" w:rsidRDefault="005C53BA" w:rsidP="006B46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E360D"/>
    <w:multiLevelType w:val="multilevel"/>
    <w:tmpl w:val="BFF23D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1731D35"/>
    <w:multiLevelType w:val="multilevel"/>
    <w:tmpl w:val="8408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5F74E0F"/>
    <w:multiLevelType w:val="multilevel"/>
    <w:tmpl w:val="95D245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8C854D7"/>
    <w:multiLevelType w:val="multilevel"/>
    <w:tmpl w:val="2818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C20018C"/>
    <w:multiLevelType w:val="multilevel"/>
    <w:tmpl w:val="0986CA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11523DB"/>
    <w:multiLevelType w:val="multilevel"/>
    <w:tmpl w:val="7B24A7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1181A21"/>
    <w:multiLevelType w:val="multilevel"/>
    <w:tmpl w:val="23E0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66D0675"/>
    <w:multiLevelType w:val="multilevel"/>
    <w:tmpl w:val="B5AAB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C312641"/>
    <w:multiLevelType w:val="multilevel"/>
    <w:tmpl w:val="9620CF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FE54297"/>
    <w:multiLevelType w:val="multilevel"/>
    <w:tmpl w:val="98685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8936DB6"/>
    <w:multiLevelType w:val="multilevel"/>
    <w:tmpl w:val="40A8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9"/>
  </w:num>
  <w:num w:numId="4">
    <w:abstractNumId w:val="0"/>
  </w:num>
  <w:num w:numId="5">
    <w:abstractNumId w:val="3"/>
  </w:num>
  <w:num w:numId="6">
    <w:abstractNumId w:val="8"/>
  </w:num>
  <w:num w:numId="7">
    <w:abstractNumId w:val="1"/>
  </w:num>
  <w:num w:numId="8">
    <w:abstractNumId w:val="4"/>
  </w:num>
  <w:num w:numId="9">
    <w:abstractNumId w:val="7"/>
  </w:num>
  <w:num w:numId="10">
    <w:abstractNumId w:val="6"/>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283"/>
  <w:characterSpacingControl w:val="doNotCompress"/>
  <w:footnotePr>
    <w:footnote w:id="0"/>
    <w:footnote w:id="1"/>
  </w:footnotePr>
  <w:endnotePr>
    <w:endnote w:id="0"/>
    <w:endnote w:id="1"/>
  </w:endnotePr>
  <w:compat>
    <w:useFELayout/>
  </w:compat>
  <w:rsids>
    <w:rsidRoot w:val="006B464F"/>
    <w:rsid w:val="005C53BA"/>
    <w:rsid w:val="006B464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main">
    <w:name w:val="ti-main"/>
    <w:basedOn w:val="Normale"/>
    <w:rsid w:val="006B46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
    <w:name w:val="normal"/>
    <w:basedOn w:val="Normale"/>
    <w:rsid w:val="006B46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chapter">
    <w:name w:val="ti-chapter"/>
    <w:basedOn w:val="Normale"/>
    <w:rsid w:val="006B464F"/>
    <w:pPr>
      <w:spacing w:before="100" w:beforeAutospacing="1" w:after="100" w:afterAutospacing="1" w:line="240" w:lineRule="auto"/>
    </w:pPr>
    <w:rPr>
      <w:rFonts w:ascii="Times New Roman" w:eastAsia="Times New Roman" w:hAnsi="Times New Roman" w:cs="Times New Roman"/>
      <w:sz w:val="24"/>
      <w:szCs w:val="24"/>
    </w:rPr>
  </w:style>
  <w:style w:type="character" w:styleId="Collegamentoipertestuale">
    <w:name w:val="Hyperlink"/>
    <w:basedOn w:val="Carpredefinitoparagrafo"/>
    <w:uiPriority w:val="99"/>
    <w:semiHidden/>
    <w:unhideWhenUsed/>
    <w:rsid w:val="006B464F"/>
    <w:rPr>
      <w:color w:val="0000FF"/>
      <w:u w:val="single"/>
    </w:rPr>
  </w:style>
  <w:style w:type="character" w:customStyle="1" w:styleId="bold">
    <w:name w:val="bold"/>
    <w:basedOn w:val="Carpredefinitoparagrafo"/>
    <w:rsid w:val="006B464F"/>
  </w:style>
  <w:style w:type="paragraph" w:styleId="NormaleWeb">
    <w:name w:val="Normal (Web)"/>
    <w:basedOn w:val="Normale"/>
    <w:uiPriority w:val="99"/>
    <w:semiHidden/>
    <w:unhideWhenUsed/>
    <w:rsid w:val="006B464F"/>
    <w:pPr>
      <w:spacing w:before="100" w:beforeAutospacing="1" w:after="100" w:afterAutospacing="1" w:line="240" w:lineRule="auto"/>
    </w:pPr>
    <w:rPr>
      <w:rFonts w:ascii="Times New Roman" w:eastAsia="Times New Roman" w:hAnsi="Times New Roman" w:cs="Times New Roman"/>
      <w:sz w:val="24"/>
      <w:szCs w:val="24"/>
    </w:rPr>
  </w:style>
  <w:style w:type="paragraph" w:styleId="Intestazione">
    <w:name w:val="header"/>
    <w:basedOn w:val="Normale"/>
    <w:link w:val="IntestazioneCarattere"/>
    <w:uiPriority w:val="99"/>
    <w:semiHidden/>
    <w:unhideWhenUsed/>
    <w:rsid w:val="006B464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6B464F"/>
  </w:style>
  <w:style w:type="paragraph" w:styleId="Pidipagina">
    <w:name w:val="footer"/>
    <w:basedOn w:val="Normale"/>
    <w:link w:val="PidipaginaCarattere"/>
    <w:uiPriority w:val="99"/>
    <w:unhideWhenUsed/>
    <w:rsid w:val="006B464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B464F"/>
  </w:style>
</w:styles>
</file>

<file path=word/webSettings.xml><?xml version="1.0" encoding="utf-8"?>
<w:webSettings xmlns:r="http://schemas.openxmlformats.org/officeDocument/2006/relationships" xmlns:w="http://schemas.openxmlformats.org/wordprocessingml/2006/main">
  <w:divs>
    <w:div w:id="1885562607">
      <w:bodyDiv w:val="1"/>
      <w:marLeft w:val="0"/>
      <w:marRight w:val="0"/>
      <w:marTop w:val="0"/>
      <w:marBottom w:val="0"/>
      <w:divBdr>
        <w:top w:val="none" w:sz="0" w:space="0" w:color="auto"/>
        <w:left w:val="none" w:sz="0" w:space="0" w:color="auto"/>
        <w:bottom w:val="none" w:sz="0" w:space="0" w:color="auto"/>
        <w:right w:val="none" w:sz="0" w:space="0" w:color="auto"/>
      </w:divBdr>
      <w:divsChild>
        <w:div w:id="254367418">
          <w:marLeft w:val="0"/>
          <w:marRight w:val="0"/>
          <w:marTop w:val="0"/>
          <w:marBottom w:val="0"/>
          <w:divBdr>
            <w:top w:val="none" w:sz="0" w:space="0" w:color="auto"/>
            <w:left w:val="none" w:sz="0" w:space="0" w:color="auto"/>
            <w:bottom w:val="none" w:sz="0" w:space="0" w:color="auto"/>
            <w:right w:val="none" w:sz="0" w:space="0" w:color="auto"/>
          </w:divBdr>
        </w:div>
        <w:div w:id="1273052444">
          <w:marLeft w:val="925"/>
          <w:marRight w:val="0"/>
          <w:marTop w:val="240"/>
          <w:marBottom w:val="240"/>
          <w:divBdr>
            <w:top w:val="none" w:sz="0" w:space="0" w:color="auto"/>
            <w:left w:val="none" w:sz="0" w:space="0" w:color="auto"/>
            <w:bottom w:val="none" w:sz="0" w:space="0" w:color="auto"/>
            <w:right w:val="none" w:sz="0" w:space="0" w:color="auto"/>
          </w:divBdr>
        </w:div>
        <w:div w:id="1746564841">
          <w:marLeft w:val="0"/>
          <w:marRight w:val="0"/>
          <w:marTop w:val="0"/>
          <w:marBottom w:val="0"/>
          <w:divBdr>
            <w:top w:val="none" w:sz="0" w:space="0" w:color="auto"/>
            <w:left w:val="none" w:sz="0" w:space="0" w:color="auto"/>
            <w:bottom w:val="none" w:sz="0" w:space="0" w:color="auto"/>
            <w:right w:val="none" w:sz="0" w:space="0" w:color="auto"/>
          </w:divBdr>
        </w:div>
        <w:div w:id="86736263">
          <w:marLeft w:val="925"/>
          <w:marRight w:val="0"/>
          <w:marTop w:val="240"/>
          <w:marBottom w:val="240"/>
          <w:divBdr>
            <w:top w:val="none" w:sz="0" w:space="0" w:color="auto"/>
            <w:left w:val="none" w:sz="0" w:space="0" w:color="auto"/>
            <w:bottom w:val="none" w:sz="0" w:space="0" w:color="auto"/>
            <w:right w:val="none" w:sz="0" w:space="0" w:color="auto"/>
          </w:divBdr>
        </w:div>
        <w:div w:id="1542014849">
          <w:marLeft w:val="0"/>
          <w:marRight w:val="0"/>
          <w:marTop w:val="0"/>
          <w:marBottom w:val="0"/>
          <w:divBdr>
            <w:top w:val="none" w:sz="0" w:space="0" w:color="auto"/>
            <w:left w:val="none" w:sz="0" w:space="0" w:color="auto"/>
            <w:bottom w:val="none" w:sz="0" w:space="0" w:color="auto"/>
            <w:right w:val="none" w:sz="0" w:space="0" w:color="auto"/>
          </w:divBdr>
        </w:div>
        <w:div w:id="850070043">
          <w:marLeft w:val="925"/>
          <w:marRight w:val="0"/>
          <w:marTop w:val="240"/>
          <w:marBottom w:val="240"/>
          <w:divBdr>
            <w:top w:val="none" w:sz="0" w:space="0" w:color="auto"/>
            <w:left w:val="none" w:sz="0" w:space="0" w:color="auto"/>
            <w:bottom w:val="none" w:sz="0" w:space="0" w:color="auto"/>
            <w:right w:val="none" w:sz="0" w:space="0" w:color="auto"/>
          </w:divBdr>
        </w:div>
        <w:div w:id="676882364">
          <w:marLeft w:val="0"/>
          <w:marRight w:val="0"/>
          <w:marTop w:val="0"/>
          <w:marBottom w:val="0"/>
          <w:divBdr>
            <w:top w:val="none" w:sz="0" w:space="0" w:color="auto"/>
            <w:left w:val="none" w:sz="0" w:space="0" w:color="auto"/>
            <w:bottom w:val="none" w:sz="0" w:space="0" w:color="auto"/>
            <w:right w:val="none" w:sz="0" w:space="0" w:color="auto"/>
          </w:divBdr>
        </w:div>
        <w:div w:id="999694614">
          <w:marLeft w:val="925"/>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summary/glossary/state_aid.html" TargetMode="External"/><Relationship Id="rId13" Type="http://schemas.openxmlformats.org/officeDocument/2006/relationships/hyperlink" Target="http://eur-lex.europa.eu/summary/glossary/eu_council.html" TargetMode="External"/><Relationship Id="rId18" Type="http://schemas.openxmlformats.org/officeDocument/2006/relationships/hyperlink" Target="http://eur-lex.europa.eu/legal-content/EN/TXT/?uri=LEGISSUM:xy0027" TargetMode="External"/><Relationship Id="rId26" Type="http://schemas.openxmlformats.org/officeDocument/2006/relationships/hyperlink" Target="https://eur-lex.europa.eu/legal-content/EN/AUTO/?uri=celex:11951K/TXT" TargetMode="External"/><Relationship Id="rId3" Type="http://schemas.openxmlformats.org/officeDocument/2006/relationships/settings" Target="settings.xml"/><Relationship Id="rId21" Type="http://schemas.openxmlformats.org/officeDocument/2006/relationships/hyperlink" Target="https://eur-lex.europa.eu/legal-content/EN/AUTO/?uri=celex:11972B/TXT" TargetMode="External"/><Relationship Id="rId7" Type="http://schemas.openxmlformats.org/officeDocument/2006/relationships/hyperlink" Target="https://eur-lex.europa.eu/legal-content/EN/AUTO/?uri=celex:11951K/TXT" TargetMode="External"/><Relationship Id="rId12" Type="http://schemas.openxmlformats.org/officeDocument/2006/relationships/hyperlink" Target="http://eur-lex.europa.eu/summary/glossary/european_parliament.html" TargetMode="External"/><Relationship Id="rId17" Type="http://schemas.openxmlformats.org/officeDocument/2006/relationships/hyperlink" Target="http://eur-lex.europa.eu/legal-content/EN/TXT/?uri=LEGISSUM:xy0026" TargetMode="External"/><Relationship Id="rId25" Type="http://schemas.openxmlformats.org/officeDocument/2006/relationships/hyperlink" Target="https://eur-lex.europa.eu/legal-content/EN/TXT/?uri=legissum:xy0023" TargetMode="External"/><Relationship Id="rId2" Type="http://schemas.openxmlformats.org/officeDocument/2006/relationships/styles" Target="styles.xml"/><Relationship Id="rId16" Type="http://schemas.openxmlformats.org/officeDocument/2006/relationships/hyperlink" Target="https://eur-lex.europa.eu/legal-content/EN/AUTO/?uri=celex:11985G000" TargetMode="External"/><Relationship Id="rId20" Type="http://schemas.openxmlformats.org/officeDocument/2006/relationships/hyperlink" Target="http://eur-lex.europa.eu/legal-content/EN/TXT/?uri=LEGISSUM:xy0012"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ur-lex.europa.eu/summary/glossary/european_economic_social_committee.html" TargetMode="External"/><Relationship Id="rId24" Type="http://schemas.openxmlformats.org/officeDocument/2006/relationships/hyperlink" Target="https://eur-lex.europa.eu/legal-content/EN/AUTO/?uri=celex:11994N/TXT" TargetMode="External"/><Relationship Id="rId5" Type="http://schemas.openxmlformats.org/officeDocument/2006/relationships/footnotes" Target="footnotes.xml"/><Relationship Id="rId15" Type="http://schemas.openxmlformats.org/officeDocument/2006/relationships/hyperlink" Target="http://eur-lex.europa.eu/legal-content/EN/TXT/?uri=LEGISSUM:4301863" TargetMode="External"/><Relationship Id="rId23" Type="http://schemas.openxmlformats.org/officeDocument/2006/relationships/hyperlink" Target="https://eur-lex.europa.eu/legal-content/EN/AUTO/?uri=celex:11985I/TXT" TargetMode="External"/><Relationship Id="rId28" Type="http://schemas.openxmlformats.org/officeDocument/2006/relationships/fontTable" Target="fontTable.xml"/><Relationship Id="rId10" Type="http://schemas.openxmlformats.org/officeDocument/2006/relationships/hyperlink" Target="http://eur-lex.europa.eu/summary/glossary/european_commission.html" TargetMode="External"/><Relationship Id="rId19" Type="http://schemas.openxmlformats.org/officeDocument/2006/relationships/hyperlink" Target="http://eur-lex.europa.eu/legal-content/EN/TXT/?uri=LEGISSUM:4301858" TargetMode="External"/><Relationship Id="rId4" Type="http://schemas.openxmlformats.org/officeDocument/2006/relationships/webSettings" Target="webSettings.xml"/><Relationship Id="rId9" Type="http://schemas.openxmlformats.org/officeDocument/2006/relationships/hyperlink" Target="http://www.coe.int/en/web/portal/home" TargetMode="External"/><Relationship Id="rId14" Type="http://schemas.openxmlformats.org/officeDocument/2006/relationships/hyperlink" Target="http://eur-lex.europa.eu/summary/glossary/eu_court_justice.html" TargetMode="External"/><Relationship Id="rId22" Type="http://schemas.openxmlformats.org/officeDocument/2006/relationships/hyperlink" Target="https://eur-lex.europa.eu/legal-content/EN/AUTO/?uri=celex:11979H/TXT" TargetMode="External"/><Relationship Id="rId27"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1736</Words>
  <Characters>9899</Characters>
  <Application>Microsoft Office Word</Application>
  <DocSecurity>0</DocSecurity>
  <Lines>82</Lines>
  <Paragraphs>23</Paragraphs>
  <ScaleCrop>false</ScaleCrop>
  <Company/>
  <LinksUpToDate>false</LinksUpToDate>
  <CharactersWithSpaces>11612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Daniela</cp:lastModifiedBy>
  <cp:revision>2</cp:revision>
  <dcterms:created xsi:type="dcterms:W3CDTF">2019-03-31T18:06:00Z</dcterms:created>
  <dcterms:modified xsi:type="dcterms:W3CDTF">2019-03-31T18:07:00Z</dcterms:modified>
</cp:coreProperties>
</file>