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441" w:rsidRDefault="00990441" w:rsidP="00990441">
      <w:pPr>
        <w:rPr>
          <w:rFonts w:eastAsia="Times New Roman" w:cs="Times New Roman"/>
        </w:rPr>
      </w:pPr>
      <w:r>
        <w:rPr>
          <w:rFonts w:eastAsia="Times New Roman" w:cs="Times New Roman"/>
          <w:b/>
          <w:bCs/>
        </w:rPr>
        <w:t>Archivio selezionato:</w:t>
      </w:r>
      <w:r>
        <w:rPr>
          <w:rFonts w:eastAsia="Times New Roman" w:cs="Times New Roman"/>
        </w:rPr>
        <w:t xml:space="preserve"> Massime </w:t>
      </w:r>
    </w:p>
    <w:p w:rsidR="00990441" w:rsidRDefault="00990441" w:rsidP="00990441">
      <w:pPr>
        <w:rPr>
          <w:rFonts w:eastAsia="Times New Roman" w:cs="Times New Roman"/>
        </w:rPr>
      </w:pPr>
      <w:r>
        <w:rPr>
          <w:rFonts w:eastAsia="Times New Roman" w:cs="Times New Roman"/>
        </w:rPr>
        <w:pict>
          <v:rect id="_x0000_i1025" style="width:0;height:1.5pt" o:hralign="center" o:hrstd="t" o:hr="t" fillcolor="#aaa" stroked="f"/>
        </w:pict>
      </w:r>
    </w:p>
    <w:p w:rsidR="00990441" w:rsidRDefault="00990441" w:rsidP="00990441">
      <w:pPr>
        <w:rPr>
          <w:rFonts w:eastAsia="Times New Roman" w:cs="Times New Roman"/>
        </w:rPr>
      </w:pPr>
      <w:r>
        <w:rPr>
          <w:rFonts w:eastAsia="Times New Roman" w:cs="Times New Roman"/>
          <w:b/>
          <w:bCs/>
        </w:rPr>
        <w:t>Autorità:</w:t>
      </w:r>
      <w:r>
        <w:rPr>
          <w:rFonts w:eastAsia="Times New Roman" w:cs="Times New Roman"/>
        </w:rPr>
        <w:t xml:space="preserve"> Cassazione civile sez. lav.</w:t>
      </w:r>
    </w:p>
    <w:p w:rsidR="00990441" w:rsidRDefault="00990441" w:rsidP="00990441">
      <w:pPr>
        <w:rPr>
          <w:rFonts w:eastAsia="Times New Roman" w:cs="Times New Roman"/>
        </w:rPr>
      </w:pPr>
      <w:r>
        <w:rPr>
          <w:rFonts w:eastAsia="Times New Roman" w:cs="Times New Roman"/>
          <w:b/>
          <w:bCs/>
        </w:rPr>
        <w:t>Data:</w:t>
      </w:r>
      <w:r>
        <w:rPr>
          <w:rFonts w:eastAsia="Times New Roman" w:cs="Times New Roman"/>
        </w:rPr>
        <w:t xml:space="preserve"> 07/09/2012</w:t>
      </w:r>
    </w:p>
    <w:p w:rsidR="00990441" w:rsidRDefault="00990441" w:rsidP="00990441">
      <w:pPr>
        <w:rPr>
          <w:rFonts w:eastAsia="Times New Roman" w:cs="Times New Roman"/>
        </w:rPr>
      </w:pPr>
      <w:proofErr w:type="gramStart"/>
      <w:r>
        <w:rPr>
          <w:rFonts w:eastAsia="Times New Roman" w:cs="Times New Roman"/>
          <w:b/>
          <w:bCs/>
        </w:rPr>
        <w:t>n.</w:t>
      </w:r>
      <w:proofErr w:type="gramEnd"/>
      <w:r>
        <w:rPr>
          <w:rFonts w:eastAsia="Times New Roman" w:cs="Times New Roman"/>
        </w:rPr>
        <w:t xml:space="preserve"> 14996</w:t>
      </w:r>
    </w:p>
    <w:p w:rsidR="00990441" w:rsidRDefault="00990441" w:rsidP="00990441">
      <w:pPr>
        <w:rPr>
          <w:rFonts w:eastAsia="Times New Roman" w:cs="Times New Roman"/>
        </w:rPr>
      </w:pPr>
      <w:r>
        <w:rPr>
          <w:rFonts w:eastAsia="Times New Roman" w:cs="Times New Roman"/>
          <w:b/>
          <w:bCs/>
        </w:rPr>
        <w:t>Parti:</w:t>
      </w:r>
      <w:r>
        <w:rPr>
          <w:rFonts w:eastAsia="Times New Roman" w:cs="Times New Roman"/>
        </w:rPr>
        <w:t xml:space="preserve"> </w:t>
      </w:r>
      <w:proofErr w:type="gramStart"/>
      <w:r>
        <w:rPr>
          <w:rFonts w:eastAsia="Times New Roman" w:cs="Times New Roman"/>
        </w:rPr>
        <w:t>V.L.</w:t>
      </w:r>
      <w:proofErr w:type="gramEnd"/>
      <w:r>
        <w:rPr>
          <w:rFonts w:eastAsia="Times New Roman" w:cs="Times New Roman"/>
        </w:rPr>
        <w:t xml:space="preserve"> </w:t>
      </w:r>
      <w:r>
        <w:rPr>
          <w:rFonts w:eastAsia="Times New Roman" w:cs="Times New Roman"/>
          <w:b/>
          <w:bCs/>
        </w:rPr>
        <w:t xml:space="preserve">C. </w:t>
      </w:r>
      <w:r>
        <w:rPr>
          <w:rFonts w:eastAsia="Times New Roman" w:cs="Times New Roman"/>
        </w:rPr>
        <w:t xml:space="preserve">L. </w:t>
      </w:r>
      <w:proofErr w:type="spellStart"/>
      <w:r>
        <w:rPr>
          <w:rFonts w:eastAsia="Times New Roman" w:cs="Times New Roman"/>
        </w:rPr>
        <w:t>s.p.a.</w:t>
      </w:r>
      <w:proofErr w:type="spellEnd"/>
      <w:r>
        <w:rPr>
          <w:rFonts w:eastAsia="Times New Roman" w:cs="Times New Roman"/>
        </w:rPr>
        <w:t xml:space="preserve"> </w:t>
      </w:r>
    </w:p>
    <w:p w:rsidR="00990441" w:rsidRDefault="00990441" w:rsidP="00990441">
      <w:pPr>
        <w:rPr>
          <w:rFonts w:eastAsia="Times New Roman" w:cs="Times New Roman"/>
        </w:rPr>
      </w:pPr>
      <w:r>
        <w:rPr>
          <w:rFonts w:eastAsia="Times New Roman" w:cs="Times New Roman"/>
          <w:b/>
          <w:bCs/>
        </w:rPr>
        <w:t>Fonti:</w:t>
      </w:r>
      <w:r>
        <w:rPr>
          <w:rFonts w:eastAsia="Times New Roman" w:cs="Times New Roman"/>
        </w:rPr>
        <w:t xml:space="preserve"> </w:t>
      </w:r>
      <w:proofErr w:type="spellStart"/>
      <w:proofErr w:type="gramStart"/>
      <w:r>
        <w:rPr>
          <w:rFonts w:eastAsia="Times New Roman" w:cs="Times New Roman"/>
        </w:rPr>
        <w:t>Giust</w:t>
      </w:r>
      <w:proofErr w:type="spellEnd"/>
      <w:r>
        <w:rPr>
          <w:rFonts w:eastAsia="Times New Roman" w:cs="Times New Roman"/>
        </w:rPr>
        <w:t>.</w:t>
      </w:r>
      <w:proofErr w:type="gramEnd"/>
      <w:r>
        <w:rPr>
          <w:rFonts w:eastAsia="Times New Roman" w:cs="Times New Roman"/>
        </w:rPr>
        <w:t xml:space="preserve"> civ. Mass. 2012, </w:t>
      </w:r>
      <w:proofErr w:type="gramStart"/>
      <w:r>
        <w:rPr>
          <w:rFonts w:eastAsia="Times New Roman" w:cs="Times New Roman"/>
        </w:rPr>
        <w:t>9</w:t>
      </w:r>
      <w:proofErr w:type="gramEnd"/>
      <w:r>
        <w:rPr>
          <w:rFonts w:eastAsia="Times New Roman" w:cs="Times New Roman"/>
        </w:rPr>
        <w:t xml:space="preserve">, 1098 </w:t>
      </w:r>
    </w:p>
    <w:p w:rsidR="00990441" w:rsidRDefault="00990441" w:rsidP="00990441">
      <w:pPr>
        <w:rPr>
          <w:rFonts w:eastAsia="Times New Roman" w:cs="Times New Roman"/>
        </w:rPr>
      </w:pPr>
      <w:proofErr w:type="gramStart"/>
      <w:r>
        <w:rPr>
          <w:rFonts w:eastAsia="Times New Roman" w:cs="Times New Roman"/>
          <w:b/>
          <w:bCs/>
        </w:rPr>
        <w:t>Classificazioni:</w:t>
      </w:r>
      <w:r>
        <w:rPr>
          <w:rFonts w:eastAsia="Times New Roman" w:cs="Times New Roman"/>
        </w:rPr>
        <w:t xml:space="preserve"> LAVORO SUBORDINATO (Rapporto di) - Durata del rapporto - - contratto a tempo determinato </w:t>
      </w:r>
      <w:proofErr w:type="gramEnd"/>
    </w:p>
    <w:p w:rsidR="00990441" w:rsidRDefault="00990441" w:rsidP="00990441">
      <w:pPr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 xml:space="preserve">Lavoro subordinato (rapporto di) - Durata del rapporto - Contratto a tempo determinato - Pluralità di contratti stipulati in frode alla legge - Conversione in unico contratto a tempo indeterminato - Indennità ‘forfetizzata' e ‘onnicomprensiva' di cui al comma </w:t>
      </w:r>
      <w:proofErr w:type="gramStart"/>
      <w:r>
        <w:rPr>
          <w:rFonts w:eastAsia="Times New Roman" w:cs="Times New Roman"/>
          <w:b/>
          <w:bCs/>
        </w:rPr>
        <w:t>5</w:t>
      </w:r>
      <w:proofErr w:type="gramEnd"/>
      <w:r>
        <w:rPr>
          <w:rFonts w:eastAsia="Times New Roman" w:cs="Times New Roman"/>
          <w:b/>
          <w:bCs/>
        </w:rPr>
        <w:t xml:space="preserve"> art. </w:t>
      </w:r>
      <w:proofErr w:type="gramStart"/>
      <w:r>
        <w:rPr>
          <w:rFonts w:eastAsia="Times New Roman" w:cs="Times New Roman"/>
          <w:b/>
          <w:bCs/>
        </w:rPr>
        <w:t xml:space="preserve">32 l. 4 novembre 2010 n. 183 - Prescrizione dei crediti relativi - Decorrenza in costanza di rapporto - Esclusione - Fondamento </w:t>
      </w:r>
      <w:proofErr w:type="gramEnd"/>
    </w:p>
    <w:p w:rsidR="00990441" w:rsidRDefault="00990441" w:rsidP="00990441">
      <w:pPr>
        <w:pStyle w:val="NormaleWeb"/>
        <w:jc w:val="both"/>
      </w:pPr>
      <w:r>
        <w:t>Nel caso di pluralità di contratti a termine illegittimamente apposto (</w:t>
      </w:r>
      <w:proofErr w:type="gramStart"/>
      <w:r>
        <w:t>in quanto</w:t>
      </w:r>
      <w:proofErr w:type="gramEnd"/>
      <w:r>
        <w:t xml:space="preserve"> stipulati in frode alla legge) con conseguente conversione in unico contratto a tempo indeterminato, il diritto al pagamento dell'indennità "forfetizzata" e "onnicomprensiva", di cui al comma 5 dell'art. 32 l. 4 novembre 2010 n. 183, si distingue da quello, imprescrittibile, a far valere la nullità del termine, ed è soggetto al </w:t>
      </w:r>
      <w:proofErr w:type="gramStart"/>
      <w:r>
        <w:t>termine</w:t>
      </w:r>
      <w:proofErr w:type="gramEnd"/>
      <w:r>
        <w:t xml:space="preserve"> di prescrizione ordinario, restando invece inapplicabili i termini prescrizionali di cui all'art. 2948 n. 4 c.c. o </w:t>
      </w:r>
      <w:proofErr w:type="gramStart"/>
      <w:r>
        <w:t>agli</w:t>
      </w:r>
      <w:proofErr w:type="gramEnd"/>
      <w:r>
        <w:t xml:space="preserve"> art. 2955 n. 2 e 2956 n. 1 c.c., </w:t>
      </w:r>
      <w:proofErr w:type="gramStart"/>
      <w:r>
        <w:t>fermo</w:t>
      </w:r>
      <w:proofErr w:type="gramEnd"/>
      <w:r>
        <w:t xml:space="preserve"> restando che, in considerazione del </w:t>
      </w:r>
      <w:proofErr w:type="spellStart"/>
      <w:r>
        <w:t>metus</w:t>
      </w:r>
      <w:proofErr w:type="spellEnd"/>
      <w:r>
        <w:t xml:space="preserve"> del lavoratore nei confronti del datore di lavoro tipico dei rapporti senza stabilità — che non può essere valutato in base alla successiva declaratoria, pur retroattiva, di nullità del termine e di conversione del rapporto a tempo indeterminato -, durante la successione dei contratti a termine non è configurabile un decorso della prescrizione del diritto all'indennità, al pari dei diritti derivanti dalla detta conversione.</w:t>
      </w:r>
    </w:p>
    <w:p w:rsidR="00BD17B6" w:rsidRDefault="00BD17B6">
      <w:bookmarkStart w:id="0" w:name="_GoBack"/>
      <w:bookmarkEnd w:id="0"/>
    </w:p>
    <w:sectPr w:rsidR="00BD17B6" w:rsidSect="00BD17B6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283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41"/>
    <w:rsid w:val="00990441"/>
    <w:rsid w:val="00BD1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3C24D9B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90441"/>
    <w:rPr>
      <w:rFonts w:ascii="Times" w:hAnsi="Times"/>
      <w:sz w:val="20"/>
      <w:szCs w:val="20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990441"/>
    <w:rPr>
      <w:rFonts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90441"/>
    <w:rPr>
      <w:rFonts w:ascii="Times" w:hAnsi="Times"/>
      <w:sz w:val="20"/>
      <w:szCs w:val="20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99044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255</Words>
  <Characters>1460</Characters>
  <Application>Microsoft Macintosh Word</Application>
  <DocSecurity>0</DocSecurity>
  <Lines>12</Lines>
  <Paragraphs>3</Paragraphs>
  <ScaleCrop>false</ScaleCrop>
  <Company>.</Company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 .</dc:creator>
  <cp:keywords/>
  <dc:description/>
  <cp:lastModifiedBy>. .</cp:lastModifiedBy>
  <cp:revision>1</cp:revision>
  <dcterms:created xsi:type="dcterms:W3CDTF">2015-09-22T20:39:00Z</dcterms:created>
  <dcterms:modified xsi:type="dcterms:W3CDTF">2015-09-22T20:39:00Z</dcterms:modified>
</cp:coreProperties>
</file>