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Corte </w:t>
      </w:r>
      <w:proofErr w:type="gramStart"/>
      <w:r>
        <w:rPr>
          <w:rFonts w:ascii="Times" w:hAnsi="Times" w:cs="Times"/>
          <w:sz w:val="32"/>
          <w:szCs w:val="32"/>
        </w:rPr>
        <w:t>cost.</w:t>
      </w:r>
      <w:proofErr w:type="gramEnd"/>
      <w:r>
        <w:rPr>
          <w:rFonts w:ascii="Times" w:hAnsi="Times" w:cs="Times"/>
          <w:sz w:val="32"/>
          <w:szCs w:val="32"/>
        </w:rPr>
        <w:t>, 10-06-1993, n. 276</w:t>
      </w:r>
    </w:p>
    <w:p w:rsidR="00A604D5" w:rsidRDefault="00A604D5" w:rsidP="00A604D5">
      <w:pPr>
        <w:widowControl w:val="0"/>
        <w:autoSpaceDE w:val="0"/>
        <w:autoSpaceDN w:val="0"/>
        <w:adjustRightInd w:val="0"/>
        <w:rPr>
          <w:rFonts w:ascii="Times" w:hAnsi="Times" w:cs="Times"/>
          <w:sz w:val="32"/>
          <w:szCs w:val="32"/>
        </w:rPr>
      </w:pPr>
    </w:p>
    <w:p w:rsidR="00A604D5" w:rsidRDefault="00A604D5" w:rsidP="00A604D5">
      <w:pPr>
        <w:widowControl w:val="0"/>
        <w:autoSpaceDE w:val="0"/>
        <w:autoSpaceDN w:val="0"/>
        <w:adjustRightInd w:val="0"/>
        <w:rPr>
          <w:rFonts w:ascii="Times" w:hAnsi="Times" w:cs="Times"/>
          <w:sz w:val="32"/>
          <w:szCs w:val="32"/>
        </w:rPr>
      </w:pPr>
      <w:hyperlink r:id="rId5" w:history="1">
        <w:r>
          <w:rPr>
            <w:rFonts w:ascii="Times" w:hAnsi="Times" w:cs="Times"/>
            <w:color w:val="0000E9"/>
            <w:sz w:val="32"/>
            <w:szCs w:val="32"/>
            <w:u w:val="single" w:color="0000E9"/>
          </w:rPr>
          <w:t>Fatto - Diritto</w:t>
        </w:r>
      </w:hyperlink>
      <w:r>
        <w:rPr>
          <w:rFonts w:ascii="Times" w:hAnsi="Times" w:cs="Times"/>
          <w:sz w:val="32"/>
          <w:szCs w:val="32"/>
        </w:rPr>
        <w:t xml:space="preserve"> </w:t>
      </w:r>
      <w:hyperlink r:id="rId6" w:history="1">
        <w:r>
          <w:rPr>
            <w:rFonts w:ascii="Times" w:hAnsi="Times" w:cs="Times"/>
            <w:color w:val="0000E9"/>
            <w:sz w:val="32"/>
            <w:szCs w:val="32"/>
            <w:u w:val="single" w:color="0000E9"/>
          </w:rPr>
          <w:t>P.Q.M.</w:t>
        </w:r>
      </w:hyperlink>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SCIOPERO </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Limiti e </w:t>
      </w:r>
      <w:proofErr w:type="gramStart"/>
      <w:r>
        <w:rPr>
          <w:rFonts w:ascii="Times" w:hAnsi="Times" w:cs="Times"/>
          <w:sz w:val="32"/>
          <w:szCs w:val="32"/>
        </w:rPr>
        <w:t>regolamentazione</w:t>
      </w:r>
      <w:proofErr w:type="gramEnd"/>
      <w:r>
        <w:rPr>
          <w:rFonts w:ascii="Times" w:hAnsi="Times" w:cs="Times"/>
          <w:sz w:val="32"/>
          <w:szCs w:val="32"/>
        </w:rPr>
        <w:t xml:space="preserve"> del diritto di sciopero </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Questioni di legittimità costituzionale </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Sciopero </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in genere </w:t>
      </w:r>
    </w:p>
    <w:p w:rsidR="00A604D5" w:rsidRDefault="00A604D5" w:rsidP="00A604D5">
      <w:pPr>
        <w:widowControl w:val="0"/>
        <w:autoSpaceDE w:val="0"/>
        <w:autoSpaceDN w:val="0"/>
        <w:adjustRightInd w:val="0"/>
        <w:rPr>
          <w:rFonts w:ascii="Times" w:hAnsi="Times" w:cs="Times"/>
          <w:sz w:val="32"/>
          <w:szCs w:val="32"/>
        </w:rPr>
      </w:pP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La Corte Costituzionale</w:t>
      </w:r>
    </w:p>
    <w:p w:rsidR="00A604D5" w:rsidRDefault="00A604D5" w:rsidP="00A604D5">
      <w:pPr>
        <w:widowControl w:val="0"/>
        <w:autoSpaceDE w:val="0"/>
        <w:autoSpaceDN w:val="0"/>
        <w:adjustRightInd w:val="0"/>
        <w:rPr>
          <w:rFonts w:ascii="Times" w:hAnsi="Times" w:cs="Times"/>
          <w:sz w:val="32"/>
          <w:szCs w:val="32"/>
        </w:rPr>
      </w:pPr>
      <w:proofErr w:type="gramStart"/>
      <w:r>
        <w:rPr>
          <w:rFonts w:ascii="Times" w:hAnsi="Times" w:cs="Times"/>
          <w:sz w:val="32"/>
          <w:szCs w:val="32"/>
        </w:rPr>
        <w:t>ha</w:t>
      </w:r>
      <w:proofErr w:type="gramEnd"/>
      <w:r>
        <w:rPr>
          <w:rFonts w:ascii="Times" w:hAnsi="Times" w:cs="Times"/>
          <w:sz w:val="32"/>
          <w:szCs w:val="32"/>
        </w:rPr>
        <w:t xml:space="preserve"> pronunciato la seguente</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Sentenza</w:t>
      </w:r>
    </w:p>
    <w:p w:rsidR="00A604D5" w:rsidRDefault="00A604D5" w:rsidP="00A604D5">
      <w:pPr>
        <w:widowControl w:val="0"/>
        <w:autoSpaceDE w:val="0"/>
        <w:autoSpaceDN w:val="0"/>
        <w:adjustRightInd w:val="0"/>
        <w:rPr>
          <w:rFonts w:ascii="Times" w:hAnsi="Times" w:cs="Times"/>
          <w:sz w:val="32"/>
          <w:szCs w:val="32"/>
        </w:rPr>
      </w:pPr>
      <w:proofErr w:type="gramStart"/>
      <w:r>
        <w:rPr>
          <w:rFonts w:ascii="Times" w:hAnsi="Times" w:cs="Times"/>
          <w:sz w:val="32"/>
          <w:szCs w:val="32"/>
        </w:rPr>
        <w:t>nel</w:t>
      </w:r>
      <w:proofErr w:type="gramEnd"/>
      <w:r>
        <w:rPr>
          <w:rFonts w:ascii="Times" w:hAnsi="Times" w:cs="Times"/>
          <w:sz w:val="32"/>
          <w:szCs w:val="32"/>
        </w:rPr>
        <w:t xml:space="preserve"> giudizio di legittimità costituzionale dell'art. 2, comma </w:t>
      </w:r>
      <w:proofErr w:type="gramStart"/>
      <w:r>
        <w:rPr>
          <w:rFonts w:ascii="Times" w:hAnsi="Times" w:cs="Times"/>
          <w:sz w:val="32"/>
          <w:szCs w:val="32"/>
        </w:rPr>
        <w:t>7</w:t>
      </w:r>
      <w:proofErr w:type="gramEnd"/>
      <w:r>
        <w:rPr>
          <w:rFonts w:ascii="Times" w:hAnsi="Times" w:cs="Times"/>
          <w:sz w:val="32"/>
          <w:szCs w:val="32"/>
        </w:rPr>
        <w:t xml:space="preserve">, della legge 12 giugno 1990, n. 146 (Norme sull'esercizio del diritto di sciopero nei servizi pubblici essenziali e sulla salvaguardia dei diritti della persona costituzionalmente tute lati. Istituzione della Commissione di garanzia dell'attuazione della legge), promosso con ordinanza emessa il 9 novembre 1992 dal Pretore di Torino nel procedimento civile vertente tra F.N.L.E. C.G.I.L. regionale del Piemonte </w:t>
      </w:r>
      <w:proofErr w:type="gramStart"/>
      <w:r>
        <w:rPr>
          <w:rFonts w:ascii="Times" w:hAnsi="Times" w:cs="Times"/>
          <w:sz w:val="32"/>
          <w:szCs w:val="32"/>
        </w:rPr>
        <w:t>ed</w:t>
      </w:r>
      <w:proofErr w:type="gramEnd"/>
      <w:r>
        <w:rPr>
          <w:rFonts w:ascii="Times" w:hAnsi="Times" w:cs="Times"/>
          <w:sz w:val="32"/>
          <w:szCs w:val="32"/>
        </w:rPr>
        <w:t xml:space="preserve"> altra e la s.p.a. E.N.E.L., iscritta al n. 789 del registro ordinanze 1992 e pubblicata nella Gazzetta Ufficiale della Repubblica n. 54, prima serie speciale, dell'anno 1992.</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Visti gli atti di costituzione della F.N.L.E. - C.G.I.L. </w:t>
      </w:r>
      <w:proofErr w:type="gramStart"/>
      <w:r>
        <w:rPr>
          <w:rFonts w:ascii="Times" w:hAnsi="Times" w:cs="Times"/>
          <w:sz w:val="32"/>
          <w:szCs w:val="32"/>
        </w:rPr>
        <w:t>ed</w:t>
      </w:r>
      <w:proofErr w:type="gramEnd"/>
      <w:r>
        <w:rPr>
          <w:rFonts w:ascii="Times" w:hAnsi="Times" w:cs="Times"/>
          <w:sz w:val="32"/>
          <w:szCs w:val="32"/>
        </w:rPr>
        <w:t xml:space="preserve"> altra e della s.p.a. E.N.E.L. nonché l'atto di intervento del Presidente del Consiglio dei Ministri;</w:t>
      </w:r>
    </w:p>
    <w:p w:rsidR="00A604D5" w:rsidRDefault="00A604D5" w:rsidP="00A604D5">
      <w:pPr>
        <w:widowControl w:val="0"/>
        <w:autoSpaceDE w:val="0"/>
        <w:autoSpaceDN w:val="0"/>
        <w:adjustRightInd w:val="0"/>
        <w:rPr>
          <w:rFonts w:ascii="Times" w:hAnsi="Times" w:cs="Times"/>
          <w:sz w:val="32"/>
          <w:szCs w:val="32"/>
        </w:rPr>
      </w:pPr>
      <w:proofErr w:type="gramStart"/>
      <w:r>
        <w:rPr>
          <w:rFonts w:ascii="Times" w:hAnsi="Times" w:cs="Times"/>
          <w:sz w:val="32"/>
          <w:szCs w:val="32"/>
        </w:rPr>
        <w:t>udito</w:t>
      </w:r>
      <w:proofErr w:type="gramEnd"/>
      <w:r>
        <w:rPr>
          <w:rFonts w:ascii="Times" w:hAnsi="Times" w:cs="Times"/>
          <w:sz w:val="32"/>
          <w:szCs w:val="32"/>
        </w:rPr>
        <w:t xml:space="preserve"> nell'udienza pubblica del 30 marzo 1993 il Giudice relatore Luigi Mengoni;</w:t>
      </w:r>
    </w:p>
    <w:p w:rsidR="00A604D5" w:rsidRDefault="00A604D5" w:rsidP="00A604D5">
      <w:pPr>
        <w:widowControl w:val="0"/>
        <w:autoSpaceDE w:val="0"/>
        <w:autoSpaceDN w:val="0"/>
        <w:adjustRightInd w:val="0"/>
        <w:rPr>
          <w:rFonts w:ascii="Times" w:hAnsi="Times" w:cs="Times"/>
          <w:sz w:val="32"/>
          <w:szCs w:val="32"/>
        </w:rPr>
      </w:pPr>
      <w:proofErr w:type="gramStart"/>
      <w:r>
        <w:rPr>
          <w:rFonts w:ascii="Times" w:hAnsi="Times" w:cs="Times"/>
          <w:sz w:val="32"/>
          <w:szCs w:val="32"/>
        </w:rPr>
        <w:t>uditi</w:t>
      </w:r>
      <w:proofErr w:type="gramEnd"/>
      <w:r>
        <w:rPr>
          <w:rFonts w:ascii="Times" w:hAnsi="Times" w:cs="Times"/>
          <w:sz w:val="32"/>
          <w:szCs w:val="32"/>
        </w:rPr>
        <w:t xml:space="preserve"> gli avvocati Massimo D'Antona, Giuseppe Ferraro e Luciano Ventura per la F.N.E.L. - C.G.I.L. ed altra, Giovanni Gentile e Mattia Persiani per la s.p.a. E.N.E.L. e l'Avvocato dello Stato Franco Favara per il Presidente del Consiglio dei Ministri.</w:t>
      </w:r>
    </w:p>
    <w:p w:rsidR="00A604D5" w:rsidRDefault="00A604D5" w:rsidP="00A604D5">
      <w:pPr>
        <w:widowControl w:val="0"/>
        <w:autoSpaceDE w:val="0"/>
        <w:autoSpaceDN w:val="0"/>
        <w:adjustRightInd w:val="0"/>
        <w:rPr>
          <w:rFonts w:ascii="Times" w:hAnsi="Times" w:cs="Times"/>
          <w:b/>
          <w:bCs/>
          <w:color w:val="0000E9"/>
          <w:sz w:val="64"/>
          <w:szCs w:val="64"/>
          <w:u w:color="0000E9"/>
        </w:rPr>
      </w:pPr>
      <w:r>
        <w:rPr>
          <w:rFonts w:ascii="Times" w:hAnsi="Times" w:cs="Times"/>
          <w:sz w:val="32"/>
          <w:szCs w:val="32"/>
        </w:rPr>
        <w:fldChar w:fldCharType="begin"/>
      </w:r>
      <w:r>
        <w:rPr>
          <w:rFonts w:ascii="Times" w:hAnsi="Times" w:cs="Times"/>
          <w:sz w:val="32"/>
          <w:szCs w:val="32"/>
        </w:rPr>
        <w:instrText>HYPERLINK "javascript:LinkReplacer.scroll('fatto_diritto_up')"</w:instrText>
      </w:r>
      <w:r>
        <w:rPr>
          <w:rFonts w:ascii="Times" w:hAnsi="Times" w:cs="Times"/>
          <w:sz w:val="32"/>
          <w:szCs w:val="32"/>
        </w:rPr>
      </w:r>
      <w:r>
        <w:rPr>
          <w:rFonts w:ascii="Times" w:hAnsi="Times" w:cs="Times"/>
          <w:sz w:val="32"/>
          <w:szCs w:val="32"/>
        </w:rPr>
        <w:fldChar w:fldCharType="separate"/>
      </w:r>
      <w:r>
        <w:rPr>
          <w:rFonts w:ascii="Times" w:hAnsi="Times" w:cs="Times"/>
          <w:b/>
          <w:bCs/>
          <w:color w:val="0000E9"/>
          <w:sz w:val="64"/>
          <w:szCs w:val="64"/>
          <w:u w:val="single" w:color="0000E9"/>
        </w:rPr>
        <w:t xml:space="preserve">Svolgimento del processo - Motivi della </w:t>
      </w:r>
      <w:proofErr w:type="gramStart"/>
      <w:r>
        <w:rPr>
          <w:rFonts w:ascii="Times" w:hAnsi="Times" w:cs="Times"/>
          <w:b/>
          <w:bCs/>
          <w:color w:val="0000E9"/>
          <w:sz w:val="64"/>
          <w:szCs w:val="64"/>
          <w:u w:val="single" w:color="0000E9"/>
        </w:rPr>
        <w:t>decisione</w:t>
      </w:r>
      <w:proofErr w:type="gramEnd"/>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fldChar w:fldCharType="end"/>
      </w:r>
      <w:r>
        <w:rPr>
          <w:rFonts w:ascii="Times" w:hAnsi="Times" w:cs="Times"/>
          <w:sz w:val="32"/>
          <w:szCs w:val="32"/>
        </w:rPr>
        <w:t xml:space="preserve">l. - Il Pretore di Torino mette in dubbio la conformità </w:t>
      </w:r>
      <w:hyperlink r:id="rId7" w:history="1">
        <w:r>
          <w:rPr>
            <w:rFonts w:ascii="Times" w:hAnsi="Times" w:cs="Times"/>
            <w:color w:val="0000E9"/>
            <w:sz w:val="32"/>
            <w:szCs w:val="32"/>
            <w:u w:val="single" w:color="0000E9"/>
          </w:rPr>
          <w:t>all'art. 40 Cost.</w:t>
        </w:r>
      </w:hyperlink>
      <w:r>
        <w:rPr>
          <w:rFonts w:ascii="Times" w:hAnsi="Times" w:cs="Times"/>
          <w:sz w:val="32"/>
          <w:szCs w:val="32"/>
        </w:rPr>
        <w:t xml:space="preserve"> dell'art. </w:t>
      </w:r>
      <w:hyperlink r:id="rId8" w:history="1">
        <w:r>
          <w:rPr>
            <w:rFonts w:ascii="Times" w:hAnsi="Times" w:cs="Times"/>
            <w:color w:val="0000E9"/>
            <w:sz w:val="32"/>
            <w:szCs w:val="32"/>
            <w:u w:val="single" w:color="0000E9"/>
          </w:rPr>
          <w:t>2, comma 7</w:t>
        </w:r>
      </w:hyperlink>
      <w:r>
        <w:rPr>
          <w:rFonts w:ascii="Times" w:hAnsi="Times" w:cs="Times"/>
          <w:sz w:val="32"/>
          <w:szCs w:val="32"/>
        </w:rPr>
        <w:t xml:space="preserve">, della </w:t>
      </w:r>
      <w:hyperlink r:id="rId9" w:history="1">
        <w:r>
          <w:rPr>
            <w:rFonts w:ascii="Times" w:hAnsi="Times" w:cs="Times"/>
            <w:color w:val="0000E9"/>
            <w:sz w:val="32"/>
            <w:szCs w:val="32"/>
            <w:u w:val="single" w:color="0000E9"/>
          </w:rPr>
          <w:t>legge 12 giugno 1990, n. 146</w:t>
        </w:r>
      </w:hyperlink>
      <w:r>
        <w:rPr>
          <w:rFonts w:ascii="Times" w:hAnsi="Times" w:cs="Times"/>
          <w:sz w:val="32"/>
          <w:szCs w:val="32"/>
        </w:rPr>
        <w:t xml:space="preserve">, portante norme sull'esercizio del diritto di sciopero nei servizi pubblici essenziali, "nella parte in cui non prevede che le disposizioni dello stesso articolo in tema di </w:t>
      </w:r>
      <w:r>
        <w:rPr>
          <w:rFonts w:ascii="Times" w:hAnsi="Times" w:cs="Times"/>
          <w:sz w:val="32"/>
          <w:szCs w:val="32"/>
        </w:rPr>
        <w:lastRenderedPageBreak/>
        <w:t>preavviso minimo e di indicazione della durata dello sciopero non si applichino, oltre che ai casi di astensione dal lavoro in difesa dell'ordine costituzionale o di protesta per gravi eventi lesivi dell'incolumità e della sicurezza dei lavoratori, anche nelle ipotesi di sciopero di carattere economico-politico".</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2.1. - Da entrambe le parti costituite in giudizio e dal l'Avvocatura dello Stato sono state sollevate preliminarmente numerose eccezioni </w:t>
      </w:r>
      <w:proofErr w:type="gramStart"/>
      <w:r>
        <w:rPr>
          <w:rFonts w:ascii="Times" w:hAnsi="Times" w:cs="Times"/>
          <w:sz w:val="32"/>
          <w:szCs w:val="32"/>
        </w:rPr>
        <w:t xml:space="preserve">di </w:t>
      </w:r>
      <w:proofErr w:type="gramEnd"/>
      <w:r>
        <w:rPr>
          <w:rFonts w:ascii="Times" w:hAnsi="Times" w:cs="Times"/>
          <w:sz w:val="32"/>
          <w:szCs w:val="32"/>
        </w:rPr>
        <w:t>inammissibilità, nessuna delle quali può essere accolta.</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Le organizzazioni sindacali ritengono la questione inammissibile anzitutto perché, non potendo le modalità procedurali prescritte dalla </w:t>
      </w:r>
      <w:hyperlink r:id="rId10" w:history="1">
        <w:r>
          <w:rPr>
            <w:rFonts w:ascii="Times" w:hAnsi="Times" w:cs="Times"/>
            <w:color w:val="0000E9"/>
            <w:sz w:val="32"/>
            <w:szCs w:val="32"/>
            <w:u w:val="single" w:color="0000E9"/>
          </w:rPr>
          <w:t>legge n. 146 del 1990</w:t>
        </w:r>
      </w:hyperlink>
      <w:r>
        <w:rPr>
          <w:rFonts w:ascii="Times" w:hAnsi="Times" w:cs="Times"/>
          <w:sz w:val="32"/>
          <w:szCs w:val="32"/>
        </w:rPr>
        <w:t xml:space="preserve"> considerarsi propriamente limiti del diritto di sciopero nel senso </w:t>
      </w:r>
      <w:hyperlink r:id="rId11" w:history="1">
        <w:r>
          <w:rPr>
            <w:rFonts w:ascii="Times" w:hAnsi="Times" w:cs="Times"/>
            <w:color w:val="0000E9"/>
            <w:sz w:val="32"/>
            <w:szCs w:val="32"/>
            <w:u w:val="single" w:color="0000E9"/>
          </w:rPr>
          <w:t>dell'art. 40 Cost.</w:t>
        </w:r>
      </w:hyperlink>
      <w:r>
        <w:rPr>
          <w:rFonts w:ascii="Times" w:hAnsi="Times" w:cs="Times"/>
          <w:sz w:val="32"/>
          <w:szCs w:val="32"/>
        </w:rPr>
        <w:t xml:space="preserve">, il pretore avrebbe dovuto accogliere il ricorso applicando all'omissione del preavviso una esimente analoga a quella di cui </w:t>
      </w:r>
      <w:hyperlink r:id="rId12" w:history="1">
        <w:r>
          <w:rPr>
            <w:rFonts w:ascii="Times" w:hAnsi="Times" w:cs="Times"/>
            <w:color w:val="0000E9"/>
            <w:sz w:val="32"/>
            <w:szCs w:val="32"/>
            <w:u w:val="single" w:color="0000E9"/>
          </w:rPr>
          <w:t xml:space="preserve">all'art. 51 </w:t>
        </w:r>
        <w:proofErr w:type="gramStart"/>
        <w:r>
          <w:rPr>
            <w:rFonts w:ascii="Times" w:hAnsi="Times" w:cs="Times"/>
            <w:color w:val="0000E9"/>
            <w:sz w:val="32"/>
            <w:szCs w:val="32"/>
            <w:u w:val="single" w:color="0000E9"/>
          </w:rPr>
          <w:t>cod.</w:t>
        </w:r>
        <w:proofErr w:type="gramEnd"/>
        <w:r>
          <w:rPr>
            <w:rFonts w:ascii="Times" w:hAnsi="Times" w:cs="Times"/>
            <w:color w:val="0000E9"/>
            <w:sz w:val="32"/>
            <w:szCs w:val="32"/>
            <w:u w:val="single" w:color="0000E9"/>
          </w:rPr>
          <w:t xml:space="preserve"> pen.</w:t>
        </w:r>
      </w:hyperlink>
      <w:r>
        <w:rPr>
          <w:rFonts w:ascii="Times" w:hAnsi="Times" w:cs="Times"/>
          <w:sz w:val="32"/>
          <w:szCs w:val="32"/>
        </w:rPr>
        <w:t>, sul riflesso che il diritto di sciopero è stato esercitato correttamente nei limiti indicati dalla giurisprudenza costituzionale per lo sciopero nei pubblici servizi; in secondo luogo perché, pur ammesso che si tratti di limite in senso proprio, il preavviso deve ritenersi obbligatorio solo nel caso in cui risulti indispensabile per la salvaguardia degli utenti, caso non ricorrente nella specie, non avendo lo sciopero determinato irregolarità nell'erogazione del servizio grazie alle precauzioni adottate dagli stessi lavoratori.</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La prima eccezione si fonda su una pretesa distinzione dell'obbligo di preavviso, in quanto modalità procedurale, dai limiti del diritto di sciopero previsti </w:t>
      </w:r>
      <w:hyperlink r:id="rId13" w:history="1">
        <w:r>
          <w:rPr>
            <w:rFonts w:ascii="Times" w:hAnsi="Times" w:cs="Times"/>
            <w:color w:val="0000E9"/>
            <w:sz w:val="32"/>
            <w:szCs w:val="32"/>
            <w:u w:val="single" w:color="0000E9"/>
          </w:rPr>
          <w:t>dall'art. 40 Cost.</w:t>
        </w:r>
      </w:hyperlink>
      <w:r>
        <w:rPr>
          <w:rFonts w:ascii="Times" w:hAnsi="Times" w:cs="Times"/>
          <w:sz w:val="32"/>
          <w:szCs w:val="32"/>
        </w:rPr>
        <w:t xml:space="preserve">, chiara mente contrastata, oltre che da evidenti difficoltà logiche, dalla lettera dell'art. 1, comma </w:t>
      </w:r>
      <w:proofErr w:type="gramStart"/>
      <w:r>
        <w:rPr>
          <w:rFonts w:ascii="Times" w:hAnsi="Times" w:cs="Times"/>
          <w:sz w:val="32"/>
          <w:szCs w:val="32"/>
        </w:rPr>
        <w:t>2</w:t>
      </w:r>
      <w:proofErr w:type="gramEnd"/>
      <w:r>
        <w:rPr>
          <w:rFonts w:ascii="Times" w:hAnsi="Times" w:cs="Times"/>
          <w:sz w:val="32"/>
          <w:szCs w:val="32"/>
        </w:rPr>
        <w:t xml:space="preserve">. La legge considera le "regole (sostanziali) da rispettare" e "le procedure da seguire in caso di conflitto collettivo" alla stessa stregua, come due ordini di limiti </w:t>
      </w:r>
      <w:proofErr w:type="gramStart"/>
      <w:r>
        <w:rPr>
          <w:rFonts w:ascii="Times" w:hAnsi="Times" w:cs="Times"/>
          <w:sz w:val="32"/>
          <w:szCs w:val="32"/>
        </w:rPr>
        <w:t>del diritto di sciopero strumentali</w:t>
      </w:r>
      <w:proofErr w:type="gramEnd"/>
      <w:r>
        <w:rPr>
          <w:rFonts w:ascii="Times" w:hAnsi="Times" w:cs="Times"/>
          <w:sz w:val="32"/>
          <w:szCs w:val="32"/>
        </w:rPr>
        <w:t xml:space="preserve"> alla salvaguardia del nucleo essenziale dei diritti degli utenti indicati nel comma precedente.</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La seconda eccezione è in realtà un'</w:t>
      </w:r>
      <w:proofErr w:type="gramStart"/>
      <w:r>
        <w:rPr>
          <w:rFonts w:ascii="Times" w:hAnsi="Times" w:cs="Times"/>
          <w:sz w:val="32"/>
          <w:szCs w:val="32"/>
        </w:rPr>
        <w:t>eccezione</w:t>
      </w:r>
      <w:proofErr w:type="gramEnd"/>
      <w:r>
        <w:rPr>
          <w:rFonts w:ascii="Times" w:hAnsi="Times" w:cs="Times"/>
          <w:sz w:val="32"/>
          <w:szCs w:val="32"/>
        </w:rPr>
        <w:t xml:space="preserve"> di merito, che prospetta una sentenza interpretativa di rigetto, e come tale sarà esaminata più avanti.</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2.2. - L'Enel deduce tre motivi </w:t>
      </w:r>
      <w:proofErr w:type="gramStart"/>
      <w:r>
        <w:rPr>
          <w:rFonts w:ascii="Times" w:hAnsi="Times" w:cs="Times"/>
          <w:sz w:val="32"/>
          <w:szCs w:val="32"/>
        </w:rPr>
        <w:t xml:space="preserve">di </w:t>
      </w:r>
      <w:proofErr w:type="gramEnd"/>
      <w:r>
        <w:rPr>
          <w:rFonts w:ascii="Times" w:hAnsi="Times" w:cs="Times"/>
          <w:sz w:val="32"/>
          <w:szCs w:val="32"/>
        </w:rPr>
        <w:t xml:space="preserve">inammissibilità. Il primo ravvisa un difetto di motivazione sulla rilevanza della questione, avendo il giudice remittente omesso di accertare in concreto se l'osservanza del preavviso avrebbe impedito l'efficace attuazione dello sciopero. Ma l'ordinanza di rimessione non mira a una sentenza che esoneri dal preavviso lo sciopero economico-politico quando si veri fichi in concreto l'esigenza </w:t>
      </w:r>
      <w:proofErr w:type="gramStart"/>
      <w:r>
        <w:rPr>
          <w:rFonts w:ascii="Times" w:hAnsi="Times" w:cs="Times"/>
          <w:sz w:val="32"/>
          <w:szCs w:val="32"/>
        </w:rPr>
        <w:t xml:space="preserve">di </w:t>
      </w:r>
      <w:proofErr w:type="gramEnd"/>
      <w:r>
        <w:rPr>
          <w:rFonts w:ascii="Times" w:hAnsi="Times" w:cs="Times"/>
          <w:sz w:val="32"/>
          <w:szCs w:val="32"/>
        </w:rPr>
        <w:t>immediata attuazione come condizione di effettività dello sciopero, bensì a una sentenza che esoneri incondizionatamente dal preavviso anche questa specie di sciopero, estendendo ad essa il medesimo trattamento dei casi eccettuati dalla norma impugnata. La rilevanza della questione è quindi indipendente dalle circostanze di fatto che l'Enel rimprovera al giudice remittente di non avere appurato.</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Col secondo motivo, proposto anche dall'Avvocatura dello Stato, si eccepisce che la richiesta sentenza additiva interferirebbe nella sfera delle scelte riservate alla discrezionalità legislativa. In contrario va osservato che, nei termini in cui è stata sollevata, la questione non implica una scelta tra una pluralità di soluzioni possibili: nell'ipotesi di sciopero economico-politico il giudice remittente ritiene l'obbligo di preavviso costituzionalmente illegittimo per se stesso, quale che ne sia il termine, sicché l'unica soluzione idonea ad armonizzare la norma impugnata con </w:t>
      </w:r>
      <w:hyperlink r:id="rId14" w:history="1">
        <w:r>
          <w:rPr>
            <w:rFonts w:ascii="Times" w:hAnsi="Times" w:cs="Times"/>
            <w:color w:val="0000E9"/>
            <w:sz w:val="32"/>
            <w:szCs w:val="32"/>
            <w:u w:val="single" w:color="0000E9"/>
          </w:rPr>
          <w:t>l'art. 40 Cost.</w:t>
        </w:r>
      </w:hyperlink>
      <w:r>
        <w:rPr>
          <w:rFonts w:ascii="Times" w:hAnsi="Times" w:cs="Times"/>
          <w:sz w:val="32"/>
          <w:szCs w:val="32"/>
        </w:rPr>
        <w:t xml:space="preserve"> è, a suo avviso, l'eliminazione dell'obbligo.</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In terzo luogo, la questione sarebbe inammissibile perché diretta a estendere una norma eccezionale a un caso diverso da quelli in essa contemplati. Ma è facile replicare che il divieto </w:t>
      </w:r>
      <w:hyperlink r:id="rId15" w:history="1">
        <w:r>
          <w:rPr>
            <w:rFonts w:ascii="Times" w:hAnsi="Times" w:cs="Times"/>
            <w:color w:val="0000E9"/>
            <w:sz w:val="32"/>
            <w:szCs w:val="32"/>
            <w:u w:val="single" w:color="0000E9"/>
          </w:rPr>
          <w:t>dell'art. 14 delle preleggi</w:t>
        </w:r>
      </w:hyperlink>
      <w:r>
        <w:rPr>
          <w:rFonts w:ascii="Times" w:hAnsi="Times" w:cs="Times"/>
          <w:sz w:val="32"/>
          <w:szCs w:val="32"/>
        </w:rPr>
        <w:t xml:space="preserve"> può costituire un ostacolo a un'ipotetica sentenza interpretativa fondata sull'analogia, non a una sentenza di accoglimento. D'altro lato, il comma </w:t>
      </w:r>
      <w:proofErr w:type="gramStart"/>
      <w:r>
        <w:rPr>
          <w:rFonts w:ascii="Times" w:hAnsi="Times" w:cs="Times"/>
          <w:sz w:val="32"/>
          <w:szCs w:val="32"/>
        </w:rPr>
        <w:t>7</w:t>
      </w:r>
      <w:proofErr w:type="gramEnd"/>
      <w:r>
        <w:rPr>
          <w:rFonts w:ascii="Times" w:hAnsi="Times" w:cs="Times"/>
          <w:sz w:val="32"/>
          <w:szCs w:val="32"/>
        </w:rPr>
        <w:t xml:space="preserve"> dell'art. 2 non è propriamente una norma eccezionale. In relazione </w:t>
      </w:r>
      <w:hyperlink r:id="rId16" w:history="1">
        <w:r>
          <w:rPr>
            <w:rFonts w:ascii="Times" w:hAnsi="Times" w:cs="Times"/>
            <w:color w:val="0000E9"/>
            <w:sz w:val="32"/>
            <w:szCs w:val="32"/>
            <w:u w:val="single" w:color="0000E9"/>
          </w:rPr>
          <w:t>all'art. 40 Cost.</w:t>
        </w:r>
      </w:hyperlink>
      <w:r>
        <w:rPr>
          <w:rFonts w:ascii="Times" w:hAnsi="Times" w:cs="Times"/>
          <w:sz w:val="32"/>
          <w:szCs w:val="32"/>
        </w:rPr>
        <w:t xml:space="preserve">, esso delimita l'ambito normativo dell'obbligo di preavviso in corrispondenza alla natura </w:t>
      </w:r>
      <w:proofErr w:type="gramStart"/>
      <w:r>
        <w:rPr>
          <w:rFonts w:ascii="Times" w:hAnsi="Times" w:cs="Times"/>
          <w:sz w:val="32"/>
          <w:szCs w:val="32"/>
        </w:rPr>
        <w:t>degli</w:t>
      </w:r>
      <w:proofErr w:type="gramEnd"/>
      <w:r>
        <w:rPr>
          <w:rFonts w:ascii="Times" w:hAnsi="Times" w:cs="Times"/>
          <w:sz w:val="32"/>
          <w:szCs w:val="32"/>
        </w:rPr>
        <w:t xml:space="preserve"> interessi tra i quali la legge ha operato il bilanciamento che giustifica questo limite all'esercizio del diritto di sciopero.</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3. - Nel merito la questione non è fondata.</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Va disattesa anzitutto l'interpretazione prospettata dalla difesa delle organizzazioni sindacali: l'enunciazione dello scopo della legge, inserita all'inizio del secondo comma dell'art. 1 ("contemperare l'esercizio del diritto di sciopero con il </w:t>
      </w:r>
      <w:proofErr w:type="gramStart"/>
      <w:r>
        <w:rPr>
          <w:rFonts w:ascii="Times" w:hAnsi="Times" w:cs="Times"/>
          <w:sz w:val="32"/>
          <w:szCs w:val="32"/>
        </w:rPr>
        <w:t>godi</w:t>
      </w:r>
      <w:proofErr w:type="gramEnd"/>
      <w:r>
        <w:rPr>
          <w:rFonts w:ascii="Times" w:hAnsi="Times" w:cs="Times"/>
          <w:sz w:val="32"/>
          <w:szCs w:val="32"/>
        </w:rPr>
        <w:t xml:space="preserve"> mento dei diritti della persona, costituzionalmente tutelati, di cui al comma 1"), fornirebbe argomento per ritenere che il preavviso previsto dall'art. 2, </w:t>
      </w:r>
      <w:proofErr w:type="gramStart"/>
      <w:r>
        <w:rPr>
          <w:rFonts w:ascii="Times" w:hAnsi="Times" w:cs="Times"/>
          <w:sz w:val="32"/>
          <w:szCs w:val="32"/>
        </w:rPr>
        <w:t>comma 1 e 5</w:t>
      </w:r>
      <w:proofErr w:type="gramEnd"/>
      <w:r>
        <w:rPr>
          <w:rFonts w:ascii="Times" w:hAnsi="Times" w:cs="Times"/>
          <w:sz w:val="32"/>
          <w:szCs w:val="32"/>
        </w:rPr>
        <w:t xml:space="preserve">, non è dovuto quando i lavoratori, prima di attuare lo sciopero, adottino misure tali da escludere a priori ogni pregiudizio ai diritti degli utenti. In realtà un giudizio a priori di innocuità (per l'utenza) di uno sciopero attuato senza preavviso non è mai possibile; né vale opporre gli esempi dello sciopero dei letturisti, degli addetti alle fatturazioni o ai distacchi degli allacciamenti agli utenti morosi, trattandosi di casi non soggetti alla </w:t>
      </w:r>
      <w:hyperlink r:id="rId17" w:history="1">
        <w:r>
          <w:rPr>
            <w:rFonts w:ascii="Times" w:hAnsi="Times" w:cs="Times"/>
            <w:color w:val="0000E9"/>
            <w:sz w:val="32"/>
            <w:szCs w:val="32"/>
            <w:u w:val="single" w:color="0000E9"/>
          </w:rPr>
          <w:t>legge n. 146 del 1990</w:t>
        </w:r>
      </w:hyperlink>
      <w:r>
        <w:rPr>
          <w:rFonts w:ascii="Times" w:hAnsi="Times" w:cs="Times"/>
          <w:sz w:val="32"/>
          <w:szCs w:val="32"/>
        </w:rPr>
        <w:t xml:space="preserve">, la quale non riguarda tutti i dipendenti delle aziende erogatrici, ma solo i dipendenti addetti alle attività di erogazione del servizio. Lasciando da parte questo tipo di considerazioni, la prospettata interpretazione non regge di fronte alla lettera della legge. L'art. 1, comma </w:t>
      </w:r>
      <w:proofErr w:type="gramStart"/>
      <w:r>
        <w:rPr>
          <w:rFonts w:ascii="Times" w:hAnsi="Times" w:cs="Times"/>
          <w:sz w:val="32"/>
          <w:szCs w:val="32"/>
        </w:rPr>
        <w:t>2</w:t>
      </w:r>
      <w:proofErr w:type="gramEnd"/>
      <w:r>
        <w:rPr>
          <w:rFonts w:ascii="Times" w:hAnsi="Times" w:cs="Times"/>
          <w:sz w:val="32"/>
          <w:szCs w:val="32"/>
        </w:rPr>
        <w:t xml:space="preserve">, precisa che, per il raggiungimento dello scopo indicato nell'incipit del comma, "la presente legge dispone le regole da rispettare e le procedure da seguire in caso di conflitto collettivo", dove la congiunzione "e" significa chiaramente che le une e le altre sono concorrenti, non alternative. Le prime consistono nelle misure, previste dall'art. </w:t>
      </w:r>
      <w:proofErr w:type="gramStart"/>
      <w:r>
        <w:rPr>
          <w:rFonts w:ascii="Times" w:hAnsi="Times" w:cs="Times"/>
          <w:sz w:val="32"/>
          <w:szCs w:val="32"/>
        </w:rPr>
        <w:t>2, che le imprese erogatrici devono predisporre (in c</w:t>
      </w:r>
      <w:proofErr w:type="gramEnd"/>
      <w:r>
        <w:rPr>
          <w:rFonts w:ascii="Times" w:hAnsi="Times" w:cs="Times"/>
          <w:sz w:val="32"/>
          <w:szCs w:val="32"/>
        </w:rPr>
        <w:t>onformità dei contratti collettivi e dei regolamenti di servizio concordati con le rappresentanze sindacali aziendali) e i lavoratori aderenti allo sciopero devono osservare, per assicurare agli utenti le prestazioni indispensabili; le seconde si riassumono essenzialmente nell'obbligo dei lavoratori, e per essi dei sindacati promotori dello sciopero, di dare un preavviso non inferiore a dieci giorni, indicando la durata dell'astensione dal lavoro, al fine (in primo luogo, ma non esclusivamente) di consentire alle imprese la predisposizione delle dette misure.</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L'autonomia dell'obbligo di preavviso rispetto al compito di predisporre le misure occorrenti per assicurare le prestazioni indispensabili, già sancita dai codici sindacali di autoregolamentazione dello sciopero presi a modello dalla </w:t>
      </w:r>
      <w:hyperlink r:id="rId18" w:history="1">
        <w:r>
          <w:rPr>
            <w:rFonts w:ascii="Times" w:hAnsi="Times" w:cs="Times"/>
            <w:color w:val="0000E9"/>
            <w:sz w:val="32"/>
            <w:szCs w:val="32"/>
            <w:u w:val="single" w:color="0000E9"/>
          </w:rPr>
          <w:t>legge n. 146 del 1990</w:t>
        </w:r>
      </w:hyperlink>
      <w:r>
        <w:rPr>
          <w:rFonts w:ascii="Times" w:hAnsi="Times" w:cs="Times"/>
          <w:sz w:val="32"/>
          <w:szCs w:val="32"/>
        </w:rPr>
        <w:t xml:space="preserve">, risulta sia dalla diversa incidenza soggettiva (l'uno incombendo ai lavoratori, l'altro alle imprese), sia dalla non coincidenza delle rispettive finalità ai sensi del comma 1 e del comma 5 dell'art. 2. Tanto poco i lavoratori possono dispensarsi dal preavviso ritenendolo assorbito da altre misure da essi giudicate idonee a </w:t>
      </w:r>
      <w:proofErr w:type="gramStart"/>
      <w:r>
        <w:rPr>
          <w:rFonts w:ascii="Times" w:hAnsi="Times" w:cs="Times"/>
          <w:sz w:val="32"/>
          <w:szCs w:val="32"/>
        </w:rPr>
        <w:t>scongiurare</w:t>
      </w:r>
      <w:proofErr w:type="gramEnd"/>
      <w:r>
        <w:rPr>
          <w:rFonts w:ascii="Times" w:hAnsi="Times" w:cs="Times"/>
          <w:sz w:val="32"/>
          <w:szCs w:val="32"/>
        </w:rPr>
        <w:t xml:space="preserve"> ogni pregiudizio per gli utenti (con ciò sostituendo il proprio giudizio contingente a valutazioni legali tipiche e, comunque, trascurando le ulteriori funzioni affidate dalla legge al preavviso), che non è consentito disporne nemmeno alla contrattazione collettiva, se non nel senso di un allungamento del termine legale.</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4. - Fermo che, eccettuati i due casi previsti dall'art. 2, comma </w:t>
      </w:r>
      <w:proofErr w:type="gramStart"/>
      <w:r>
        <w:rPr>
          <w:rFonts w:ascii="Times" w:hAnsi="Times" w:cs="Times"/>
          <w:sz w:val="32"/>
          <w:szCs w:val="32"/>
        </w:rPr>
        <w:t>7</w:t>
      </w:r>
      <w:proofErr w:type="gramEnd"/>
      <w:r>
        <w:rPr>
          <w:rFonts w:ascii="Times" w:hAnsi="Times" w:cs="Times"/>
          <w:sz w:val="32"/>
          <w:szCs w:val="32"/>
        </w:rPr>
        <w:t xml:space="preserve">, lo sciopero nei pubblici servizi essenziali è sempre e incondizionatamente soggetto all'obbligo di preavviso non inferiore a dieci giorni, il giudice "a quo" reputa tale obbligo incompatibile con la garanzia costituzionale dell'art. 40 nell'ipotesi di sciopero economico-politico, nella quale la possibilità di attuazione immediata dell'astensione collettiva dal lavoro, senza remore dilatorie, è da lui reputata una condizione di effettiva capacità di pressione </w:t>
      </w:r>
      <w:proofErr w:type="gramStart"/>
      <w:r>
        <w:rPr>
          <w:rFonts w:ascii="Times" w:hAnsi="Times" w:cs="Times"/>
          <w:sz w:val="32"/>
          <w:szCs w:val="32"/>
        </w:rPr>
        <w:t>dello</w:t>
      </w:r>
      <w:proofErr w:type="gramEnd"/>
      <w:r>
        <w:rPr>
          <w:rFonts w:ascii="Times" w:hAnsi="Times" w:cs="Times"/>
          <w:sz w:val="32"/>
          <w:szCs w:val="32"/>
        </w:rPr>
        <w:t xml:space="preserve"> sciopero. A suo avviso, lo sciopero economico-politico, </w:t>
      </w:r>
      <w:proofErr w:type="gramStart"/>
      <w:r>
        <w:rPr>
          <w:rFonts w:ascii="Times" w:hAnsi="Times" w:cs="Times"/>
          <w:sz w:val="32"/>
          <w:szCs w:val="32"/>
        </w:rPr>
        <w:t>in quanto</w:t>
      </w:r>
      <w:proofErr w:type="gramEnd"/>
      <w:r>
        <w:rPr>
          <w:rFonts w:ascii="Times" w:hAnsi="Times" w:cs="Times"/>
          <w:sz w:val="32"/>
          <w:szCs w:val="32"/>
        </w:rPr>
        <w:t xml:space="preserve"> connotato dalla funzione di pressione sugli organi di formazione della volontà politica, non può essere disciplinato diversamente dagli altri casi di sciopero politico elevato a diritto soggettivo, quali appunto i casi individuati dalla norma impugnata.</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A parte il rilievo che tale valutazione coinvolge </w:t>
      </w:r>
      <w:hyperlink r:id="rId19" w:history="1">
        <w:r>
          <w:rPr>
            <w:rFonts w:ascii="Times" w:hAnsi="Times" w:cs="Times"/>
            <w:color w:val="0000E9"/>
            <w:sz w:val="32"/>
            <w:szCs w:val="32"/>
            <w:u w:val="single" w:color="0000E9"/>
          </w:rPr>
          <w:t>l'art. 3 Cost.</w:t>
        </w:r>
      </w:hyperlink>
      <w:r>
        <w:rPr>
          <w:rFonts w:ascii="Times" w:hAnsi="Times" w:cs="Times"/>
          <w:sz w:val="32"/>
          <w:szCs w:val="32"/>
        </w:rPr>
        <w:t xml:space="preserve">, non richiamato nell'ordinanza di rimessione, va osservato, da un lato, che </w:t>
      </w:r>
      <w:hyperlink r:id="rId20" w:history="1">
        <w:r>
          <w:rPr>
            <w:rFonts w:ascii="Times" w:hAnsi="Times" w:cs="Times"/>
            <w:color w:val="0000E9"/>
            <w:sz w:val="32"/>
            <w:szCs w:val="32"/>
            <w:u w:val="single" w:color="0000E9"/>
          </w:rPr>
          <w:t>l'art. 40 Cost.</w:t>
        </w:r>
      </w:hyperlink>
      <w:r>
        <w:rPr>
          <w:rFonts w:ascii="Times" w:hAnsi="Times" w:cs="Times"/>
          <w:sz w:val="32"/>
          <w:szCs w:val="32"/>
        </w:rPr>
        <w:t xml:space="preserve"> </w:t>
      </w:r>
      <w:proofErr w:type="gramStart"/>
      <w:r>
        <w:rPr>
          <w:rFonts w:ascii="Times" w:hAnsi="Times" w:cs="Times"/>
          <w:sz w:val="32"/>
          <w:szCs w:val="32"/>
        </w:rPr>
        <w:t>garantisce</w:t>
      </w:r>
      <w:proofErr w:type="gramEnd"/>
      <w:r>
        <w:rPr>
          <w:rFonts w:ascii="Times" w:hAnsi="Times" w:cs="Times"/>
          <w:sz w:val="32"/>
          <w:szCs w:val="32"/>
        </w:rPr>
        <w:t xml:space="preserve"> le condizioni giuridiche di effettività dello sciopero nei limiti segnati dal bilanciamento con altri interessi di maggiore rilievo costituzionale, dall'altro che lo sciopero economico-politico non è connotato soltanto dalla funzione politica testè definita, ma anche dalla qualità delle pretese degli scioperanti, tipicamente afferenti all'uno o all'altro degli interessi economici dei lavoratori contemplati nel Titolo III della Parte I della Costituzione. </w:t>
      </w:r>
      <w:proofErr w:type="gramStart"/>
      <w:r>
        <w:rPr>
          <w:rFonts w:ascii="Times" w:hAnsi="Times" w:cs="Times"/>
          <w:sz w:val="32"/>
          <w:szCs w:val="32"/>
        </w:rPr>
        <w:t>Da questo punto di vista, ai fini della ponderazione con i diritti della persona salvaguardati dall'art</w:t>
      </w:r>
      <w:proofErr w:type="gramEnd"/>
      <w:r>
        <w:rPr>
          <w:rFonts w:ascii="Times" w:hAnsi="Times" w:cs="Times"/>
          <w:sz w:val="32"/>
          <w:szCs w:val="32"/>
        </w:rPr>
        <w:t xml:space="preserve">. </w:t>
      </w:r>
      <w:hyperlink r:id="rId21" w:history="1">
        <w:r>
          <w:rPr>
            <w:rFonts w:ascii="Times" w:hAnsi="Times" w:cs="Times"/>
            <w:color w:val="0000E9"/>
            <w:sz w:val="32"/>
            <w:szCs w:val="32"/>
            <w:u w:val="single" w:color="0000E9"/>
          </w:rPr>
          <w:t>1, comma 1</w:t>
        </w:r>
      </w:hyperlink>
      <w:r>
        <w:rPr>
          <w:rFonts w:ascii="Times" w:hAnsi="Times" w:cs="Times"/>
          <w:sz w:val="32"/>
          <w:szCs w:val="32"/>
        </w:rPr>
        <w:t xml:space="preserve">, della </w:t>
      </w:r>
      <w:hyperlink r:id="rId22" w:history="1">
        <w:r>
          <w:rPr>
            <w:rFonts w:ascii="Times" w:hAnsi="Times" w:cs="Times"/>
            <w:color w:val="0000E9"/>
            <w:sz w:val="32"/>
            <w:szCs w:val="32"/>
            <w:u w:val="single" w:color="0000E9"/>
          </w:rPr>
          <w:t>legge n. 146 del 1990</w:t>
        </w:r>
      </w:hyperlink>
      <w:r>
        <w:rPr>
          <w:rFonts w:ascii="Times" w:hAnsi="Times" w:cs="Times"/>
          <w:sz w:val="32"/>
          <w:szCs w:val="32"/>
        </w:rPr>
        <w:t xml:space="preserve">, lo sciopero economico-politico è avvicinabile allo sciopero economico-contrattuale. L'analogia di natura degli interessi, a sostegno dei quali lo sciopero nell'una e nell'altra ipotesi </w:t>
      </w:r>
      <w:proofErr w:type="gramStart"/>
      <w:r>
        <w:rPr>
          <w:rFonts w:ascii="Times" w:hAnsi="Times" w:cs="Times"/>
          <w:sz w:val="32"/>
          <w:szCs w:val="32"/>
        </w:rPr>
        <w:t>viene</w:t>
      </w:r>
      <w:proofErr w:type="gramEnd"/>
      <w:r>
        <w:rPr>
          <w:rFonts w:ascii="Times" w:hAnsi="Times" w:cs="Times"/>
          <w:sz w:val="32"/>
          <w:szCs w:val="32"/>
        </w:rPr>
        <w:t xml:space="preserve"> proclamato, giustifica l'assoggettamento di entrambe alla disciplina dell'art. 2 anche per quanto concerne l'obbligo di preavviso e </w:t>
      </w:r>
      <w:proofErr w:type="gramStart"/>
      <w:r>
        <w:rPr>
          <w:rFonts w:ascii="Times" w:hAnsi="Times" w:cs="Times"/>
          <w:sz w:val="32"/>
          <w:szCs w:val="32"/>
        </w:rPr>
        <w:t xml:space="preserve">di </w:t>
      </w:r>
      <w:proofErr w:type="gramEnd"/>
      <w:r>
        <w:rPr>
          <w:rFonts w:ascii="Times" w:hAnsi="Times" w:cs="Times"/>
          <w:sz w:val="32"/>
          <w:szCs w:val="32"/>
        </w:rPr>
        <w:t>indicazione della durata dell'astensione dal lavoro, tenuto conto che la forza di pressione dello sciopero nei pubblici servizi essenziali si esplica più attraverso il danno inflitto agli utenti che attraverso il danno arrecato alle amministrazioni o alle imprese erogatrici.</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Di tutt'altra natura sono gli interessi difesi dai lavoratori nei casi previsti dall'ultimo comma dell'art. 2: poiché ineriscono alla persona e a interessi fondamentali della collettività, il bilanciamento con i diritti degli utenti di cui all'art. 1, comma </w:t>
      </w:r>
      <w:proofErr w:type="gramStart"/>
      <w:r>
        <w:rPr>
          <w:rFonts w:ascii="Times" w:hAnsi="Times" w:cs="Times"/>
          <w:sz w:val="32"/>
          <w:szCs w:val="32"/>
        </w:rPr>
        <w:t>1</w:t>
      </w:r>
      <w:proofErr w:type="gramEnd"/>
      <w:r>
        <w:rPr>
          <w:rFonts w:ascii="Times" w:hAnsi="Times" w:cs="Times"/>
          <w:sz w:val="32"/>
          <w:szCs w:val="32"/>
        </w:rPr>
        <w:t>, della legge deve avere un esito diverso e meno incisivo sull'esercizio del diritto di sciopero.</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t xml:space="preserve">Le organizzazioni sindacali obiettano che lo sciopero economico-politico è uno strumento di partecipazione dei lavoratori alla formazione </w:t>
      </w:r>
      <w:proofErr w:type="gramStart"/>
      <w:r>
        <w:rPr>
          <w:rFonts w:ascii="Times" w:hAnsi="Times" w:cs="Times"/>
          <w:sz w:val="32"/>
          <w:szCs w:val="32"/>
        </w:rPr>
        <w:t>delle</w:t>
      </w:r>
      <w:proofErr w:type="gramEnd"/>
      <w:r>
        <w:rPr>
          <w:rFonts w:ascii="Times" w:hAnsi="Times" w:cs="Times"/>
          <w:sz w:val="32"/>
          <w:szCs w:val="32"/>
        </w:rPr>
        <w:t xml:space="preserve"> decisioni di politica economica che toccano loro specifici interessi, e come tale non può essere disciplinato alla medesima stregua dello sciopero per fini contrattuali. Va replicato che, secondo la giurisprudenza di questa Corte (sent. n. 290 del 1974), la valutazione quale "mezzo idoneo a favorire il perseguimento dei fini di cui </w:t>
      </w:r>
      <w:hyperlink r:id="rId23" w:history="1">
        <w:r>
          <w:rPr>
            <w:rFonts w:ascii="Times" w:hAnsi="Times" w:cs="Times"/>
            <w:color w:val="0000E9"/>
            <w:sz w:val="32"/>
            <w:szCs w:val="32"/>
            <w:u w:val="single" w:color="0000E9"/>
          </w:rPr>
          <w:t>all'art. 3, secondo comma, Cost.</w:t>
        </w:r>
      </w:hyperlink>
      <w:r>
        <w:rPr>
          <w:rFonts w:ascii="Times" w:hAnsi="Times" w:cs="Times"/>
          <w:sz w:val="32"/>
          <w:szCs w:val="32"/>
        </w:rPr>
        <w:t xml:space="preserve">" </w:t>
      </w:r>
      <w:proofErr w:type="gramStart"/>
      <w:r>
        <w:rPr>
          <w:rFonts w:ascii="Times" w:hAnsi="Times" w:cs="Times"/>
          <w:sz w:val="32"/>
          <w:szCs w:val="32"/>
        </w:rPr>
        <w:t>è</w:t>
      </w:r>
      <w:proofErr w:type="gramEnd"/>
      <w:r>
        <w:rPr>
          <w:rFonts w:ascii="Times" w:hAnsi="Times" w:cs="Times"/>
          <w:sz w:val="32"/>
          <w:szCs w:val="32"/>
        </w:rPr>
        <w:t xml:space="preserve"> per sé sola un criterio di riconoscimento dello sciopero politico come libertà, non come diritto soggettivo. Dalla categoria dello sciopero politico lo sciopero economico-politico è stato enucleato come specie appartenente all'area normativa </w:t>
      </w:r>
      <w:hyperlink r:id="rId24" w:history="1">
        <w:r>
          <w:rPr>
            <w:rFonts w:ascii="Times" w:hAnsi="Times" w:cs="Times"/>
            <w:color w:val="0000E9"/>
            <w:sz w:val="32"/>
            <w:szCs w:val="32"/>
            <w:u w:val="single" w:color="0000E9"/>
          </w:rPr>
          <w:t>dell'art. 40 Cost.</w:t>
        </w:r>
      </w:hyperlink>
      <w:r>
        <w:rPr>
          <w:rFonts w:ascii="Times" w:hAnsi="Times" w:cs="Times"/>
          <w:sz w:val="32"/>
          <w:szCs w:val="32"/>
        </w:rPr>
        <w:t xml:space="preserve">, e quindi qualificato come diritto soggettivo, non in relazione all ' </w:t>
      </w:r>
      <w:hyperlink r:id="rId25" w:history="1">
        <w:r>
          <w:rPr>
            <w:rFonts w:ascii="Times" w:hAnsi="Times" w:cs="Times"/>
            <w:color w:val="0000E9"/>
            <w:sz w:val="32"/>
            <w:szCs w:val="32"/>
            <w:u w:val="single" w:color="0000E9"/>
          </w:rPr>
          <w:t>art. 3, secondo comma, Cost.</w:t>
        </w:r>
      </w:hyperlink>
      <w:r>
        <w:rPr>
          <w:rFonts w:ascii="Times" w:hAnsi="Times" w:cs="Times"/>
          <w:sz w:val="32"/>
          <w:szCs w:val="32"/>
        </w:rPr>
        <w:t xml:space="preserve">, ma in ragione dell'omogeneità di natura </w:t>
      </w:r>
      <w:proofErr w:type="gramStart"/>
      <w:r>
        <w:rPr>
          <w:rFonts w:ascii="Times" w:hAnsi="Times" w:cs="Times"/>
          <w:sz w:val="32"/>
          <w:szCs w:val="32"/>
        </w:rPr>
        <w:t>delle</w:t>
      </w:r>
      <w:proofErr w:type="gramEnd"/>
      <w:r>
        <w:rPr>
          <w:rFonts w:ascii="Times" w:hAnsi="Times" w:cs="Times"/>
          <w:sz w:val="32"/>
          <w:szCs w:val="32"/>
        </w:rPr>
        <w:t xml:space="preserve"> rivendicazioni degli scioperanti con quelle sostenute dallo sciopero economico-contrattuale, le une e le altre essendo funzionali "alla realizzazione di quel vario complesso di beni che trovano riconoscimento e tutela nella disciplina costituzionale dei rapporti economici" (sent. n. 1 del 1974).</w:t>
      </w:r>
    </w:p>
    <w:p w:rsidR="00A604D5" w:rsidRDefault="00A604D5" w:rsidP="00A604D5">
      <w:pPr>
        <w:widowControl w:val="0"/>
        <w:autoSpaceDE w:val="0"/>
        <w:autoSpaceDN w:val="0"/>
        <w:adjustRightInd w:val="0"/>
        <w:rPr>
          <w:rFonts w:ascii="Times" w:hAnsi="Times" w:cs="Times"/>
          <w:b/>
          <w:bCs/>
          <w:color w:val="0000E9"/>
          <w:sz w:val="64"/>
          <w:szCs w:val="64"/>
          <w:u w:color="0000E9"/>
        </w:rPr>
      </w:pPr>
      <w:r>
        <w:rPr>
          <w:rFonts w:ascii="Times" w:hAnsi="Times" w:cs="Times"/>
          <w:sz w:val="32"/>
          <w:szCs w:val="32"/>
        </w:rPr>
        <w:fldChar w:fldCharType="begin"/>
      </w:r>
      <w:r>
        <w:rPr>
          <w:rFonts w:ascii="Times" w:hAnsi="Times" w:cs="Times"/>
          <w:sz w:val="32"/>
          <w:szCs w:val="32"/>
        </w:rPr>
        <w:instrText>HYPERLINK "javascript:LinkReplacer.scroll('pqm_up')"</w:instrText>
      </w:r>
      <w:r>
        <w:rPr>
          <w:rFonts w:ascii="Times" w:hAnsi="Times" w:cs="Times"/>
          <w:sz w:val="32"/>
          <w:szCs w:val="32"/>
        </w:rPr>
      </w:r>
      <w:r>
        <w:rPr>
          <w:rFonts w:ascii="Times" w:hAnsi="Times" w:cs="Times"/>
          <w:sz w:val="32"/>
          <w:szCs w:val="32"/>
        </w:rPr>
        <w:fldChar w:fldCharType="separate"/>
      </w:r>
      <w:r>
        <w:rPr>
          <w:rFonts w:ascii="Times" w:hAnsi="Times" w:cs="Times"/>
          <w:b/>
          <w:bCs/>
          <w:color w:val="0000E9"/>
          <w:sz w:val="64"/>
          <w:szCs w:val="64"/>
          <w:u w:val="single" w:color="0000E9"/>
        </w:rPr>
        <w:t>P.Q.M.</w:t>
      </w:r>
    </w:p>
    <w:p w:rsidR="00A604D5" w:rsidRDefault="00A604D5" w:rsidP="00A604D5">
      <w:pPr>
        <w:widowControl w:val="0"/>
        <w:autoSpaceDE w:val="0"/>
        <w:autoSpaceDN w:val="0"/>
        <w:adjustRightInd w:val="0"/>
        <w:rPr>
          <w:rFonts w:ascii="Times" w:hAnsi="Times" w:cs="Times"/>
          <w:sz w:val="32"/>
          <w:szCs w:val="32"/>
        </w:rPr>
      </w:pPr>
      <w:r>
        <w:rPr>
          <w:rFonts w:ascii="Times" w:hAnsi="Times" w:cs="Times"/>
          <w:sz w:val="32"/>
          <w:szCs w:val="32"/>
        </w:rPr>
        <w:fldChar w:fldCharType="end"/>
      </w:r>
      <w:r>
        <w:rPr>
          <w:rFonts w:ascii="Times" w:hAnsi="Times" w:cs="Times"/>
          <w:sz w:val="32"/>
          <w:szCs w:val="32"/>
        </w:rPr>
        <w:t>La Corte Costituzionale</w:t>
      </w:r>
    </w:p>
    <w:p w:rsidR="00A604D5" w:rsidRDefault="00A604D5" w:rsidP="00A604D5">
      <w:pPr>
        <w:widowControl w:val="0"/>
        <w:autoSpaceDE w:val="0"/>
        <w:autoSpaceDN w:val="0"/>
        <w:adjustRightInd w:val="0"/>
        <w:rPr>
          <w:rFonts w:ascii="Times" w:hAnsi="Times" w:cs="Times"/>
          <w:sz w:val="32"/>
          <w:szCs w:val="32"/>
        </w:rPr>
      </w:pPr>
      <w:proofErr w:type="gramStart"/>
      <w:r>
        <w:rPr>
          <w:rFonts w:ascii="Times" w:hAnsi="Times" w:cs="Times"/>
          <w:sz w:val="32"/>
          <w:szCs w:val="32"/>
        </w:rPr>
        <w:t>dichiara</w:t>
      </w:r>
      <w:proofErr w:type="gramEnd"/>
      <w:r>
        <w:rPr>
          <w:rFonts w:ascii="Times" w:hAnsi="Times" w:cs="Times"/>
          <w:sz w:val="32"/>
          <w:szCs w:val="32"/>
        </w:rPr>
        <w:t xml:space="preserve"> non fondata la questione di legittimità costituzionale dell'art. </w:t>
      </w:r>
      <w:hyperlink r:id="rId26" w:history="1">
        <w:r>
          <w:rPr>
            <w:rFonts w:ascii="Times" w:hAnsi="Times" w:cs="Times"/>
            <w:color w:val="0000E9"/>
            <w:sz w:val="32"/>
            <w:szCs w:val="32"/>
            <w:u w:val="single" w:color="0000E9"/>
          </w:rPr>
          <w:t>2, comma 7</w:t>
        </w:r>
      </w:hyperlink>
      <w:r>
        <w:rPr>
          <w:rFonts w:ascii="Times" w:hAnsi="Times" w:cs="Times"/>
          <w:sz w:val="32"/>
          <w:szCs w:val="32"/>
        </w:rPr>
        <w:t xml:space="preserve">, della </w:t>
      </w:r>
      <w:hyperlink r:id="rId27" w:history="1">
        <w:r>
          <w:rPr>
            <w:rFonts w:ascii="Times" w:hAnsi="Times" w:cs="Times"/>
            <w:color w:val="0000E9"/>
            <w:sz w:val="32"/>
            <w:szCs w:val="32"/>
            <w:u w:val="single" w:color="0000E9"/>
          </w:rPr>
          <w:t>legge 12 giugno 1990, n. 146</w:t>
        </w:r>
      </w:hyperlink>
      <w:r>
        <w:rPr>
          <w:rFonts w:ascii="Times" w:hAnsi="Times" w:cs="Times"/>
          <w:sz w:val="32"/>
          <w:szCs w:val="32"/>
        </w:rPr>
        <w:t xml:space="preserve"> (Norme sull'esercizio del diritto di sciopero nei servizi pubblici essenziali e sulla salvaguardia dei diritti della persona costituzionalmente tutelati. Istituzione della Commissione di garanzia dell'attuazione della legge), sollevata, in riferimento </w:t>
      </w:r>
      <w:hyperlink r:id="rId28" w:history="1">
        <w:r>
          <w:rPr>
            <w:rFonts w:ascii="Times" w:hAnsi="Times" w:cs="Times"/>
            <w:color w:val="0000E9"/>
            <w:sz w:val="32"/>
            <w:szCs w:val="32"/>
            <w:u w:val="single" w:color="0000E9"/>
          </w:rPr>
          <w:t>all'art. 40 della Costituzione</w:t>
        </w:r>
      </w:hyperlink>
      <w:r>
        <w:rPr>
          <w:rFonts w:ascii="Times" w:hAnsi="Times" w:cs="Times"/>
          <w:sz w:val="32"/>
          <w:szCs w:val="32"/>
        </w:rPr>
        <w:t>, dal Pretore di Torino con l'ordinanza in epigrafe.</w:t>
      </w:r>
    </w:p>
    <w:p w:rsidR="00BD17B6" w:rsidRDefault="00A604D5" w:rsidP="00A604D5">
      <w:r>
        <w:rPr>
          <w:rFonts w:ascii="Times" w:hAnsi="Times" w:cs="Times"/>
          <w:sz w:val="32"/>
          <w:szCs w:val="32"/>
        </w:rPr>
        <w:t>Così deciso in Roma, nella sede della Corte Costituzionale, Palazzo della Consulta, il 28 maggio 1993.</w:t>
      </w:r>
      <w:bookmarkStart w:id="0" w:name="_GoBack"/>
      <w:bookmarkEnd w:id="0"/>
    </w:p>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4D5"/>
    <w:rsid w:val="00A604D5"/>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javascript:kernel.go('bd',%7Bmask:'main',opera:'61',id:'61LX0000109986',key:'61LX0000109986',%20callerTicket:%20'',%20userKey:%20'',_menu:'giuri',kind:''%7D)" TargetMode="External"/><Relationship Id="rId20" Type="http://schemas.openxmlformats.org/officeDocument/2006/relationships/hyperlink" Target="javascript:kernel.go('bd',%7Bmask:'main',opera:'05',id:'05AC00009899',key:'05AC00009899',%20callerTicket:%20'',%20userKey:%20'',_menu:'giuri',kind:''%7D)" TargetMode="External"/><Relationship Id="rId21" Type="http://schemas.openxmlformats.org/officeDocument/2006/relationships/hyperlink" Target="javascript:kernel.go('bd',%7Bmask:'main',opera:'61',id:'61LX0000109986ART1',key:'61LX0000109986ART1',%20callerTicket:%20'',%20userKey:%20'',_menu:'giuri',kind:''%7D)" TargetMode="External"/><Relationship Id="rId22" Type="http://schemas.openxmlformats.org/officeDocument/2006/relationships/hyperlink" Target="javascript:kernel.go('bd',%7Bmask:'main',opera:'61',id:'61LX0000109986',key:'61LX0000109986',%20callerTicket:%20'',%20userKey:%20'',_menu:'giuri',kind:''%7D)" TargetMode="External"/><Relationship Id="rId23" Type="http://schemas.openxmlformats.org/officeDocument/2006/relationships/hyperlink" Target="javascript:kernel.go('bd',%7Bmask:'main',opera:'05',id:'05AC00009900',key:'05AC00009900',%20callerTicket:%20'',%20userKey:%20'',_menu:'giuri',kind:''%7D)" TargetMode="External"/><Relationship Id="rId24" Type="http://schemas.openxmlformats.org/officeDocument/2006/relationships/hyperlink" Target="javascript:kernel.go('bd',%7Bmask:'main',opera:'05',id:'05AC00009899',key:'05AC00009899',%20callerTicket:%20'',%20userKey:%20'',_menu:'giuri',kind:''%7D)" TargetMode="External"/><Relationship Id="rId25" Type="http://schemas.openxmlformats.org/officeDocument/2006/relationships/hyperlink" Target="javascript:kernel.go('bd',%7Bmask:'main',opera:'05',id:'05AC00009900',key:'05AC00009900',%20callerTicket:%20'',%20userKey:%20'',_menu:'giuri',kind:''%7D)" TargetMode="External"/><Relationship Id="rId26" Type="http://schemas.openxmlformats.org/officeDocument/2006/relationships/hyperlink" Target="javascript:kernel.go('bd',%7Bmask:'main',opera:'61',id:'61LX0000109986ART2',key:'61LX0000109986ART2',%20callerTicket:%20'',%20userKey:%20'',_menu:'giuri',kind:''%7D)" TargetMode="External"/><Relationship Id="rId27" Type="http://schemas.openxmlformats.org/officeDocument/2006/relationships/hyperlink" Target="javascript:kernel.go('bd',%7Bmask:'main',opera:'61',id:'61LX0000109986',key:'61LX0000109986',%20callerTicket:%20'',%20userKey:%20'',_menu:'giuri',kind:''%7D)" TargetMode="External"/><Relationship Id="rId28" Type="http://schemas.openxmlformats.org/officeDocument/2006/relationships/hyperlink" Target="javascript:kernel.go('bd',%7Bmask:'main',opera:'05',id:'05AC00009899',key:'05AC00009899',%20callerTicket:%20'',%20userKey:%20'',_menu:'giuri',kind:''%7D)"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javascript:kernel.go('bd',%7Bmask:'main',opera:'61',id:'61LX0000109986',key:'61LX0000109986',%20callerTicket:%20'',%20userKey:%20'',_menu:'giuri',kind:''%7D)" TargetMode="External"/><Relationship Id="rId11" Type="http://schemas.openxmlformats.org/officeDocument/2006/relationships/hyperlink" Target="javascript:kernel.go('bd',%7Bmask:'main',opera:'05',id:'05AC00009899',key:'05AC00009899',%20callerTicket:%20'',%20userKey:%20'',_menu:'giuri',kind:''%7D)" TargetMode="External"/><Relationship Id="rId12" Type="http://schemas.openxmlformats.org/officeDocument/2006/relationships/hyperlink" Target="javascript:kernel.go('bd',%7Bmask:'main',opera:'05',id:'05AC00003820',key:'05AC00003820',%20callerTicket:%20'',%20userKey:%20'',_menu:'giuri',kind:''%7D)" TargetMode="External"/><Relationship Id="rId13" Type="http://schemas.openxmlformats.org/officeDocument/2006/relationships/hyperlink" Target="javascript:kernel.go('bd',%7Bmask:'main',opera:'05',id:'05AC00009899',key:'05AC00009899',%20callerTicket:%20'',%20userKey:%20'',_menu:'giuri',kind:''%7D)" TargetMode="External"/><Relationship Id="rId14" Type="http://schemas.openxmlformats.org/officeDocument/2006/relationships/hyperlink" Target="javascript:kernel.go('bd',%7Bmask:'main',opera:'05',id:'05AC00009899',key:'05AC00009899',%20callerTicket:%20'',%20userKey:%20'',_menu:'giuri',kind:''%7D)" TargetMode="External"/><Relationship Id="rId15" Type="http://schemas.openxmlformats.org/officeDocument/2006/relationships/hyperlink" Target="javascript:kernel.go('bd',%7Bmask:'main',opera:'05',id:'05AC00001041',key:'05AC00001041',%20callerTicket:%20'',%20userKey:%20'',_menu:'giuri',kind:''%7D)" TargetMode="External"/><Relationship Id="rId16" Type="http://schemas.openxmlformats.org/officeDocument/2006/relationships/hyperlink" Target="javascript:kernel.go('bd',%7Bmask:'main',opera:'05',id:'05AC00009899',key:'05AC00009899',%20callerTicket:%20'',%20userKey:%20'',_menu:'giuri',kind:''%7D)" TargetMode="External"/><Relationship Id="rId17" Type="http://schemas.openxmlformats.org/officeDocument/2006/relationships/hyperlink" Target="javascript:kernel.go('bd',%7Bmask:'main',opera:'61',id:'61LX0000109986',key:'61LX0000109986',%20callerTicket:%20'',%20userKey:%20'',_menu:'giuri',kind:''%7D)" TargetMode="External"/><Relationship Id="rId18" Type="http://schemas.openxmlformats.org/officeDocument/2006/relationships/hyperlink" Target="javascript:kernel.go('bd',%7Bmask:'main',opera:'61',id:'61LX0000109986',key:'61LX0000109986',%20callerTicket:%20'',%20userKey:%20'',_menu:'giuri',kind:''%7D)" TargetMode="External"/><Relationship Id="rId19" Type="http://schemas.openxmlformats.org/officeDocument/2006/relationships/hyperlink" Target="javascript:kernel.go('bd',%7Bmask:'main',opera:'05',id:'05AC00009900',key:'05AC00009900',%20callerTicket:%20'',%20userKey:%20'',_menu:'giuri',kind:''%7D)"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javascript:LinkReplacer.scroll('fatto_diritto')" TargetMode="External"/><Relationship Id="rId6" Type="http://schemas.openxmlformats.org/officeDocument/2006/relationships/hyperlink" Target="javascript:LinkReplacer.scroll('pqm')" TargetMode="External"/><Relationship Id="rId7" Type="http://schemas.openxmlformats.org/officeDocument/2006/relationships/hyperlink" Target="javascript:kernel.go('bd',%7Bmask:'main',opera:'05',id:'05AC00009899',key:'05AC00009899',%20callerTicket:%20'',%20userKey:%20'',_menu:'giuri',kind:''%7D)" TargetMode="External"/><Relationship Id="rId8" Type="http://schemas.openxmlformats.org/officeDocument/2006/relationships/hyperlink" Target="javascript:kernel.go('bd',%7Bmask:'main',opera:'61',id:'61LX0000109986ART2',key:'61LX0000109986ART2',%20callerTicket:%20'',%20userKey:%20'',_menu:'giuri',kind:''%7D)"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2624</Words>
  <Characters>14958</Characters>
  <Application>Microsoft Macintosh Word</Application>
  <DocSecurity>0</DocSecurity>
  <Lines>124</Lines>
  <Paragraphs>35</Paragraphs>
  <ScaleCrop>false</ScaleCrop>
  <Company>.</Company>
  <LinksUpToDate>false</LinksUpToDate>
  <CharactersWithSpaces>17547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2015-12-02T17:23:00Z</dcterms:created>
  <dcterms:modified xsi:type="dcterms:W3CDTF">2015-12-02T17:23:00Z</dcterms:modified>
</cp:coreProperties>
</file>