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398E1" w14:textId="77777777" w:rsidR="00054D06" w:rsidRPr="00054D06" w:rsidRDefault="00054D06" w:rsidP="00054D06">
      <w:pPr>
        <w:rPr>
          <w:lang w:val="en-US"/>
        </w:rPr>
      </w:pPr>
      <w:r w:rsidRPr="00054D06">
        <w:rPr>
          <w:b/>
          <w:bCs/>
          <w:lang w:val="en-US"/>
        </w:rPr>
        <w:t>SIX WHY’S AND PURPOSE-DRIVEN COGNITION (SYNTHESIS)</w:t>
      </w:r>
    </w:p>
    <w:p w14:paraId="4D8CCF92" w14:textId="77777777" w:rsidR="00054D06" w:rsidRPr="00054D06" w:rsidRDefault="00054D06" w:rsidP="00054D06">
      <w:pPr>
        <w:rPr>
          <w:lang w:val="en-US"/>
        </w:rPr>
      </w:pPr>
      <w:r w:rsidRPr="00054D06">
        <w:rPr>
          <w:lang w:val="en-US"/>
        </w:rPr>
        <w:t>Within cognitive processes, the six why’s technique functions not merely as a diagnostic tool, but as a dual-directional cognitive mechanism. Repeated questioning activates two complementary movements of thought: a backward trajectory, aimed at uncovering root causes, and a forward trajectory, oriented toward clarifying ultimate purpose. This duality mirrors the enduring distinction between causality and intentionality—between explaining and assigning meaning.</w:t>
      </w:r>
    </w:p>
    <w:p w14:paraId="2E03FA18" w14:textId="77777777" w:rsidR="00054D06" w:rsidRPr="00054D06" w:rsidRDefault="00054D06" w:rsidP="00054D06">
      <w:pPr>
        <w:rPr>
          <w:lang w:val="en-US"/>
        </w:rPr>
      </w:pPr>
      <w:r w:rsidRPr="00054D06">
        <w:rPr>
          <w:lang w:val="en-US"/>
        </w:rPr>
        <w:t>Used regressively, the why question drives inquiry beyond surface events toward deeper structures and underlying mental models. This shift, central to systems thinking, enables more effective intervention by targeting structural and paradigmatic levels rather than symptomatic manifestations (Meadows, 2008). In organizational practice, as exemplified by Ohno’s application within the Toyota Production System, this approach reduces simplistic attributions and reveals systemic responsibility (Ohno, 1988).</w:t>
      </w:r>
    </w:p>
    <w:p w14:paraId="699E2D54" w14:textId="77777777" w:rsidR="00054D06" w:rsidRPr="00054D06" w:rsidRDefault="00054D06" w:rsidP="00054D06">
      <w:pPr>
        <w:rPr>
          <w:lang w:val="en-US"/>
        </w:rPr>
      </w:pPr>
      <w:r w:rsidRPr="00054D06">
        <w:rPr>
          <w:lang w:val="en-US"/>
        </w:rPr>
        <w:t>Used progressively, the same question ascends through layers of goals to reach values and identity. Here, cognition becomes integrative rather than analytical, grounding action in meaning rather than mechanism. As Frankl argues, this orientation toward purpose is intrinsic to human cognition and cannot be reduced to instrumental reasoning (Frankl, 1959).</w:t>
      </w:r>
    </w:p>
    <w:p w14:paraId="743DDBB6" w14:textId="77777777" w:rsidR="00054D06" w:rsidRPr="00054D06" w:rsidRDefault="00054D06" w:rsidP="00054D06">
      <w:pPr>
        <w:rPr>
          <w:lang w:val="en-US"/>
        </w:rPr>
      </w:pPr>
      <w:r w:rsidRPr="00054D06">
        <w:rPr>
          <w:lang w:val="en-US"/>
        </w:rPr>
        <w:t>Contemporary leadership studies conceptualize this integration as purpose-driven cognition. In complex environments, decision-making cannot rely solely on analytical optimization; it requires a higher-order frame that orients interpretation and action. Purpose functions as such a frame, shaping sensemaking processes and reducing ambiguity (Weick, 1995). Empirical research shows that it acts as a cognitive filter, enabling coherence and prioritization under uncertainty (Hollensbe et al., 2014; Gulati, 2019), while psychologically it supports stable self-regulation and resilience through alignment between values and identity (Deci &amp; Ryan, 2000).</w:t>
      </w:r>
    </w:p>
    <w:p w14:paraId="0422BA0D" w14:textId="77777777" w:rsidR="00054D06" w:rsidRPr="00054D06" w:rsidRDefault="00054D06" w:rsidP="00054D06">
      <w:pPr>
        <w:rPr>
          <w:lang w:val="en-US"/>
        </w:rPr>
      </w:pPr>
      <w:r w:rsidRPr="00054D06">
        <w:rPr>
          <w:lang w:val="en-US"/>
        </w:rPr>
        <w:t>Within complexity theory, purpose assumes a metacognitive role. It does not control outcomes but stabilizes orientation, allowing adaptive action in turbulent contexts (Wheatley, 2006; Morin, 2005).</w:t>
      </w:r>
    </w:p>
    <w:p w14:paraId="43482B9C" w14:textId="77777777" w:rsidR="00054D06" w:rsidRPr="00054D06" w:rsidRDefault="00054D06" w:rsidP="00054D06">
      <w:pPr>
        <w:rPr>
          <w:lang w:val="en-US"/>
        </w:rPr>
      </w:pPr>
      <w:r w:rsidRPr="00054D06">
        <w:rPr>
          <w:lang w:val="en-US"/>
        </w:rPr>
        <w:t>Taken together, the two uses of the six why’s define a mature cognitive capability: causal inquiry ensures systemic understanding and responsibility, while teleological inquiry provides direction and legitimacy. Separated, they generate dysfunction—efficiency without purpose, or meaning without grounding. Integrated, they enable leadership capable of coherent action within complexity, uniting explanation and meaning, analysis and vision.</w:t>
      </w:r>
    </w:p>
    <w:p w14:paraId="42BDE3ED" w14:textId="77777777" w:rsidR="00054D06" w:rsidRPr="00054D06" w:rsidRDefault="00054D06" w:rsidP="00054D06">
      <w:pPr>
        <w:rPr>
          <w:lang w:val="en-US"/>
        </w:rPr>
      </w:pPr>
      <w:r w:rsidRPr="00054D06">
        <w:rPr>
          <w:b/>
          <w:bCs/>
          <w:lang w:val="en-US"/>
        </w:rPr>
        <w:t>References (APA 7th ed.)</w:t>
      </w:r>
    </w:p>
    <w:p w14:paraId="09DDD64A" w14:textId="77777777" w:rsidR="00054D06" w:rsidRPr="00054D06" w:rsidRDefault="00054D06" w:rsidP="00054D06">
      <w:pPr>
        <w:rPr>
          <w:lang w:val="en-US"/>
        </w:rPr>
      </w:pPr>
      <w:r w:rsidRPr="00054D06">
        <w:rPr>
          <w:lang w:val="en-US"/>
        </w:rPr>
        <w:t xml:space="preserve">Deci, E. L., &amp; Ryan, R. M. (2000). </w:t>
      </w:r>
      <w:r w:rsidRPr="00054D06">
        <w:rPr>
          <w:i/>
          <w:iCs/>
          <w:lang w:val="en-US"/>
        </w:rPr>
        <w:t>Psychological Inquiry, 11</w:t>
      </w:r>
      <w:r w:rsidRPr="00054D06">
        <w:rPr>
          <w:lang w:val="en-US"/>
        </w:rPr>
        <w:t>(4), 227–268.</w:t>
      </w:r>
      <w:r w:rsidRPr="00054D06">
        <w:rPr>
          <w:lang w:val="en-US"/>
        </w:rPr>
        <w:br/>
        <w:t xml:space="preserve">Frankl, V. E. (1959). </w:t>
      </w:r>
      <w:r w:rsidRPr="00054D06">
        <w:rPr>
          <w:i/>
          <w:iCs/>
          <w:lang w:val="en-US"/>
        </w:rPr>
        <w:t>Man’s search for meaning</w:t>
      </w:r>
      <w:r w:rsidRPr="00054D06">
        <w:rPr>
          <w:lang w:val="en-US"/>
        </w:rPr>
        <w:t>. Beacon Press.</w:t>
      </w:r>
      <w:r w:rsidRPr="00054D06">
        <w:rPr>
          <w:lang w:val="en-US"/>
        </w:rPr>
        <w:br/>
        <w:t xml:space="preserve">Gulati, R. (2019). </w:t>
      </w:r>
      <w:r w:rsidRPr="00054D06">
        <w:rPr>
          <w:i/>
          <w:iCs/>
          <w:lang w:val="en-US"/>
        </w:rPr>
        <w:t>The soul of a business</w:t>
      </w:r>
      <w:r w:rsidRPr="00054D06">
        <w:rPr>
          <w:lang w:val="en-US"/>
        </w:rPr>
        <w:t>. Harper Business.</w:t>
      </w:r>
      <w:r w:rsidRPr="00054D06">
        <w:rPr>
          <w:lang w:val="en-US"/>
        </w:rPr>
        <w:br/>
        <w:t xml:space="preserve">Hollensbe, E., et al. (2014). </w:t>
      </w:r>
      <w:r w:rsidRPr="00054D06">
        <w:rPr>
          <w:i/>
          <w:iCs/>
          <w:lang w:val="en-US"/>
        </w:rPr>
        <w:t>Academy of Management Journal, 57</w:t>
      </w:r>
      <w:r w:rsidRPr="00054D06">
        <w:rPr>
          <w:lang w:val="en-US"/>
        </w:rPr>
        <w:t>(5), 1227–1234.</w:t>
      </w:r>
      <w:r w:rsidRPr="00054D06">
        <w:rPr>
          <w:lang w:val="en-US"/>
        </w:rPr>
        <w:br/>
        <w:t xml:space="preserve">Meadows, D. H. (2008). </w:t>
      </w:r>
      <w:r w:rsidRPr="00054D06">
        <w:rPr>
          <w:i/>
          <w:iCs/>
          <w:lang w:val="en-US"/>
        </w:rPr>
        <w:t>Thinking in systems</w:t>
      </w:r>
      <w:r w:rsidRPr="00054D06">
        <w:rPr>
          <w:lang w:val="en-US"/>
        </w:rPr>
        <w:t>. Chelsea Green.</w:t>
      </w:r>
      <w:r w:rsidRPr="00054D06">
        <w:rPr>
          <w:lang w:val="en-US"/>
        </w:rPr>
        <w:br/>
        <w:t xml:space="preserve">Morin, E. (2005). </w:t>
      </w:r>
      <w:r w:rsidRPr="00054D06">
        <w:rPr>
          <w:i/>
          <w:iCs/>
          <w:lang w:val="en-US"/>
        </w:rPr>
        <w:t xml:space="preserve">Introduction à la pensée </w:t>
      </w:r>
      <w:proofErr w:type="spellStart"/>
      <w:r w:rsidRPr="00054D06">
        <w:rPr>
          <w:i/>
          <w:iCs/>
          <w:lang w:val="en-US"/>
        </w:rPr>
        <w:t>complexe</w:t>
      </w:r>
      <w:proofErr w:type="spellEnd"/>
      <w:r w:rsidRPr="00054D06">
        <w:rPr>
          <w:lang w:val="en-US"/>
        </w:rPr>
        <w:t xml:space="preserve">. </w:t>
      </w:r>
      <w:proofErr w:type="spellStart"/>
      <w:r w:rsidRPr="00054D06">
        <w:rPr>
          <w:lang w:val="en-US"/>
        </w:rPr>
        <w:t>Seuil</w:t>
      </w:r>
      <w:proofErr w:type="spellEnd"/>
      <w:r w:rsidRPr="00054D06">
        <w:rPr>
          <w:lang w:val="en-US"/>
        </w:rPr>
        <w:t>.</w:t>
      </w:r>
      <w:r w:rsidRPr="00054D06">
        <w:rPr>
          <w:lang w:val="en-US"/>
        </w:rPr>
        <w:br/>
      </w:r>
      <w:r w:rsidRPr="00054D06">
        <w:rPr>
          <w:lang w:val="en-US"/>
        </w:rPr>
        <w:lastRenderedPageBreak/>
        <w:t xml:space="preserve">Ohno, T. (1988). </w:t>
      </w:r>
      <w:r w:rsidRPr="00054D06">
        <w:rPr>
          <w:i/>
          <w:iCs/>
          <w:lang w:val="en-US"/>
        </w:rPr>
        <w:t>Toyota production system</w:t>
      </w:r>
      <w:r w:rsidRPr="00054D06">
        <w:rPr>
          <w:lang w:val="en-US"/>
        </w:rPr>
        <w:t>. Productivity Press.</w:t>
      </w:r>
      <w:r w:rsidRPr="00054D06">
        <w:rPr>
          <w:lang w:val="en-US"/>
        </w:rPr>
        <w:br/>
        <w:t xml:space="preserve">Weick, K. E. (1995). </w:t>
      </w:r>
      <w:r w:rsidRPr="00054D06">
        <w:rPr>
          <w:i/>
          <w:iCs/>
          <w:lang w:val="en-US"/>
        </w:rPr>
        <w:t>Sensemaking in organizations</w:t>
      </w:r>
      <w:r w:rsidRPr="00054D06">
        <w:rPr>
          <w:lang w:val="en-US"/>
        </w:rPr>
        <w:t>. Sage.</w:t>
      </w:r>
      <w:r w:rsidRPr="00054D06">
        <w:rPr>
          <w:lang w:val="en-US"/>
        </w:rPr>
        <w:br/>
        <w:t xml:space="preserve">Wheatley, M. J. (2006). </w:t>
      </w:r>
      <w:r w:rsidRPr="00054D06">
        <w:rPr>
          <w:i/>
          <w:iCs/>
          <w:lang w:val="en-US"/>
        </w:rPr>
        <w:t>Leadership and the new science</w:t>
      </w:r>
      <w:r w:rsidRPr="00054D06">
        <w:rPr>
          <w:lang w:val="en-US"/>
        </w:rPr>
        <w:t>. Berrett-Koehler.</w:t>
      </w:r>
    </w:p>
    <w:p w14:paraId="525C25F3" w14:textId="77777777" w:rsidR="00492D7D" w:rsidRPr="00054D06" w:rsidRDefault="00492D7D">
      <w:pPr>
        <w:rPr>
          <w:lang w:val="en-US"/>
        </w:rPr>
      </w:pPr>
    </w:p>
    <w:sectPr w:rsidR="00492D7D" w:rsidRPr="00054D0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D06"/>
    <w:rsid w:val="00054D06"/>
    <w:rsid w:val="00492D7D"/>
    <w:rsid w:val="00733449"/>
    <w:rsid w:val="007577E1"/>
    <w:rsid w:val="008C2A50"/>
    <w:rsid w:val="00B3191A"/>
    <w:rsid w:val="00F209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2A500"/>
  <w15:chartTrackingRefBased/>
  <w15:docId w15:val="{F647F55E-D72D-41C6-A822-D9F4116A7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054D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054D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054D06"/>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054D06"/>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054D06"/>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054D06"/>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054D06"/>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054D06"/>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054D06"/>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54D06"/>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054D06"/>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054D06"/>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054D06"/>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054D06"/>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054D06"/>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054D06"/>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054D06"/>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054D06"/>
    <w:rPr>
      <w:rFonts w:eastAsiaTheme="majorEastAsia" w:cstheme="majorBidi"/>
      <w:color w:val="272727" w:themeColor="text1" w:themeTint="D8"/>
    </w:rPr>
  </w:style>
  <w:style w:type="paragraph" w:styleId="Titolo">
    <w:name w:val="Title"/>
    <w:basedOn w:val="Normale"/>
    <w:next w:val="Normale"/>
    <w:link w:val="TitoloCarattere"/>
    <w:uiPriority w:val="10"/>
    <w:qFormat/>
    <w:rsid w:val="00054D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54D0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054D06"/>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054D06"/>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054D06"/>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054D06"/>
    <w:rPr>
      <w:i/>
      <w:iCs/>
      <w:color w:val="404040" w:themeColor="text1" w:themeTint="BF"/>
    </w:rPr>
  </w:style>
  <w:style w:type="paragraph" w:styleId="Paragrafoelenco">
    <w:name w:val="List Paragraph"/>
    <w:basedOn w:val="Normale"/>
    <w:uiPriority w:val="34"/>
    <w:qFormat/>
    <w:rsid w:val="00054D06"/>
    <w:pPr>
      <w:ind w:left="720"/>
      <w:contextualSpacing/>
    </w:pPr>
  </w:style>
  <w:style w:type="character" w:styleId="Enfasiintensa">
    <w:name w:val="Intense Emphasis"/>
    <w:basedOn w:val="Carpredefinitoparagrafo"/>
    <w:uiPriority w:val="21"/>
    <w:qFormat/>
    <w:rsid w:val="00054D06"/>
    <w:rPr>
      <w:i/>
      <w:iCs/>
      <w:color w:val="2F5496" w:themeColor="accent1" w:themeShade="BF"/>
    </w:rPr>
  </w:style>
  <w:style w:type="paragraph" w:styleId="Citazioneintensa">
    <w:name w:val="Intense Quote"/>
    <w:basedOn w:val="Normale"/>
    <w:next w:val="Normale"/>
    <w:link w:val="CitazioneintensaCarattere"/>
    <w:uiPriority w:val="30"/>
    <w:qFormat/>
    <w:rsid w:val="00054D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054D06"/>
    <w:rPr>
      <w:i/>
      <w:iCs/>
      <w:color w:val="2F5496" w:themeColor="accent1" w:themeShade="BF"/>
    </w:rPr>
  </w:style>
  <w:style w:type="character" w:styleId="Riferimentointenso">
    <w:name w:val="Intense Reference"/>
    <w:basedOn w:val="Carpredefinitoparagrafo"/>
    <w:uiPriority w:val="32"/>
    <w:qFormat/>
    <w:rsid w:val="00054D0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2796</Characters>
  <Application>Microsoft Office Word</Application>
  <DocSecurity>0</DocSecurity>
  <Lines>23</Lines>
  <Paragraphs>6</Paragraphs>
  <ScaleCrop>false</ScaleCrop>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Giancotti</dc:creator>
  <cp:keywords/>
  <dc:description/>
  <cp:lastModifiedBy>Fernando Giancotti</cp:lastModifiedBy>
  <cp:revision>1</cp:revision>
  <dcterms:created xsi:type="dcterms:W3CDTF">2026-03-17T18:56:00Z</dcterms:created>
  <dcterms:modified xsi:type="dcterms:W3CDTF">2026-03-17T18:57:00Z</dcterms:modified>
</cp:coreProperties>
</file>