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60A" w:rsidRPr="00FD2FBD" w:rsidRDefault="00DB187E">
      <w:pPr>
        <w:rPr>
          <w:rFonts w:cstheme="minorHAnsi"/>
          <w:color w:val="222222"/>
          <w:sz w:val="24"/>
          <w:szCs w:val="24"/>
          <w:shd w:val="clear" w:color="auto" w:fill="FFFFFF"/>
          <w:lang w:val="en-US"/>
        </w:rPr>
      </w:pPr>
      <w:r w:rsidRPr="00FD2FBD">
        <w:rPr>
          <w:rFonts w:cstheme="minorHAnsi"/>
          <w:b/>
          <w:bCs/>
          <w:iCs/>
          <w:color w:val="222222"/>
          <w:sz w:val="24"/>
          <w:szCs w:val="24"/>
          <w:shd w:val="clear" w:color="auto" w:fill="FFFFFF"/>
          <w:lang w:val="en-US"/>
        </w:rPr>
        <w:t>Van Duyn v Home Office</w:t>
      </w:r>
      <w:r w:rsidRPr="00FD2FBD">
        <w:rPr>
          <w:rFonts w:cstheme="minorHAnsi"/>
          <w:color w:val="222222"/>
          <w:sz w:val="24"/>
          <w:szCs w:val="24"/>
          <w:shd w:val="clear" w:color="auto" w:fill="FFFFFF"/>
          <w:lang w:val="en-US"/>
        </w:rPr>
        <w:t> (1974)</w:t>
      </w:r>
      <w:r w:rsidRPr="00FD2FBD">
        <w:rPr>
          <w:rStyle w:val="Rimandonotaapidipagina"/>
          <w:rFonts w:cstheme="minorHAnsi"/>
          <w:color w:val="222222"/>
          <w:sz w:val="24"/>
          <w:szCs w:val="24"/>
          <w:shd w:val="clear" w:color="auto" w:fill="FFFFFF"/>
          <w:lang w:val="en-US"/>
        </w:rPr>
        <w:footnoteReference w:id="2"/>
      </w:r>
      <w:r w:rsidRPr="00FD2FBD">
        <w:rPr>
          <w:rFonts w:cstheme="minorHAnsi"/>
          <w:color w:val="222222"/>
          <w:sz w:val="24"/>
          <w:szCs w:val="24"/>
          <w:shd w:val="clear" w:color="auto" w:fill="FFFFFF"/>
          <w:lang w:val="en-US"/>
        </w:rPr>
        <w:t> </w:t>
      </w:r>
    </w:p>
    <w:p w:rsidR="00FD2FBD" w:rsidRPr="00772B56" w:rsidRDefault="00DB187E" w:rsidP="00E05705">
      <w:pPr>
        <w:rPr>
          <w:sz w:val="24"/>
          <w:szCs w:val="24"/>
          <w:lang w:val="en-US"/>
        </w:rPr>
      </w:pPr>
      <w:r w:rsidRPr="00772B56">
        <w:rPr>
          <w:sz w:val="24"/>
          <w:szCs w:val="24"/>
          <w:lang w:val="en-US"/>
        </w:rPr>
        <w:t>Is a case of the 197</w:t>
      </w:r>
      <w:r w:rsidR="00E05705" w:rsidRPr="00772B56">
        <w:rPr>
          <w:sz w:val="24"/>
          <w:szCs w:val="24"/>
          <w:lang w:val="en-US"/>
        </w:rPr>
        <w:t xml:space="preserve">4 European Court of Justice </w:t>
      </w:r>
      <w:r w:rsidRPr="00772B56">
        <w:rPr>
          <w:sz w:val="24"/>
          <w:szCs w:val="24"/>
          <w:lang w:val="en-US"/>
        </w:rPr>
        <w:t>concerning the free movement of workers</w:t>
      </w:r>
      <w:r w:rsidR="00FD2FBD" w:rsidRPr="00772B56">
        <w:rPr>
          <w:sz w:val="24"/>
          <w:szCs w:val="24"/>
          <w:lang w:val="en-US"/>
        </w:rPr>
        <w:t xml:space="preserve"> between member states. </w:t>
      </w:r>
      <w:r w:rsidRPr="00772B56">
        <w:rPr>
          <w:sz w:val="24"/>
          <w:szCs w:val="24"/>
          <w:lang w:val="en-US"/>
        </w:rPr>
        <w:t> </w:t>
      </w:r>
    </w:p>
    <w:p w:rsidR="00DB187E" w:rsidRDefault="00DB187E" w:rsidP="00DB187E">
      <w:pPr>
        <w:jc w:val="both"/>
        <w:rPr>
          <w:rFonts w:cstheme="minorHAnsi"/>
          <w:sz w:val="24"/>
          <w:szCs w:val="24"/>
          <w:lang w:val="en-US"/>
        </w:rPr>
      </w:pPr>
      <w:r w:rsidRPr="00DB187E">
        <w:rPr>
          <w:rStyle w:val="notranslate"/>
          <w:rFonts w:cstheme="minorHAnsi"/>
          <w:sz w:val="24"/>
          <w:szCs w:val="24"/>
          <w:shd w:val="clear" w:color="auto" w:fill="FFFFFF"/>
          <w:lang w:val="en-US"/>
        </w:rPr>
        <w:t>Miss Van Duyn, a Dutch national, wished to enter the UK to take up work with the Church of Scientology.</w:t>
      </w:r>
      <w:r w:rsidRPr="00DB187E">
        <w:rPr>
          <w:rFonts w:cstheme="minorHAnsi"/>
          <w:sz w:val="24"/>
          <w:szCs w:val="24"/>
          <w:shd w:val="clear" w:color="auto" w:fill="FFFFFF"/>
          <w:lang w:val="en-US"/>
        </w:rPr>
        <w:t> </w:t>
      </w:r>
      <w:r w:rsidRPr="00DB187E">
        <w:rPr>
          <w:rStyle w:val="notranslate"/>
          <w:rFonts w:cstheme="minorHAnsi"/>
          <w:sz w:val="24"/>
          <w:szCs w:val="24"/>
          <w:shd w:val="clear" w:color="auto" w:fill="FFFFFF"/>
          <w:lang w:val="en-US"/>
        </w:rPr>
        <w:t>Art 48EC (new Art.39EC) confers rights on the individuals of each Member State to go to another MS (host state) to take up work without being discriminated against as regards employment, remuneration and other conditions of work and employment.</w:t>
      </w:r>
      <w:r w:rsidRPr="00DB187E">
        <w:rPr>
          <w:rFonts w:cstheme="minorHAnsi"/>
          <w:sz w:val="24"/>
          <w:szCs w:val="24"/>
          <w:shd w:val="clear" w:color="auto" w:fill="FFFFFF"/>
          <w:lang w:val="en-US"/>
        </w:rPr>
        <w:t> </w:t>
      </w:r>
      <w:r w:rsidRPr="00DB187E">
        <w:rPr>
          <w:rStyle w:val="notranslate"/>
          <w:rFonts w:cstheme="minorHAnsi"/>
          <w:sz w:val="24"/>
          <w:szCs w:val="24"/>
          <w:shd w:val="clear" w:color="auto" w:fill="FFFFFF"/>
          <w:lang w:val="en-US"/>
        </w:rPr>
        <w:t>The right to free movement of workers is subject to limitations justified on the grounds of public policy, public security or public health.</w:t>
      </w:r>
      <w:r w:rsidRPr="00DB187E">
        <w:rPr>
          <w:rFonts w:cstheme="minorHAnsi"/>
          <w:sz w:val="24"/>
          <w:szCs w:val="24"/>
          <w:shd w:val="clear" w:color="auto" w:fill="FFFFFF"/>
          <w:lang w:val="en-US"/>
        </w:rPr>
        <w:t> </w:t>
      </w:r>
      <w:r w:rsidRPr="00DB187E">
        <w:rPr>
          <w:rStyle w:val="notranslate"/>
          <w:rFonts w:cstheme="minorHAnsi"/>
          <w:sz w:val="24"/>
          <w:szCs w:val="24"/>
          <w:shd w:val="clear" w:color="auto" w:fill="FFFFFF"/>
          <w:lang w:val="en-US"/>
        </w:rPr>
        <w:t>Despite any evidence of 'personal conduct' being held against her, the HO refused to admit Miss Van Duyn into the UK.</w:t>
      </w:r>
      <w:r w:rsidRPr="00DB187E">
        <w:rPr>
          <w:rFonts w:cstheme="minorHAnsi"/>
          <w:sz w:val="24"/>
          <w:szCs w:val="24"/>
          <w:shd w:val="clear" w:color="auto" w:fill="FFFFFF"/>
          <w:lang w:val="en-US"/>
        </w:rPr>
        <w:t> </w:t>
      </w:r>
    </w:p>
    <w:p w:rsidR="00DB187E" w:rsidRDefault="00DB187E" w:rsidP="00DB187E">
      <w:pPr>
        <w:jc w:val="both"/>
        <w:rPr>
          <w:rFonts w:cstheme="minorHAnsi"/>
          <w:sz w:val="24"/>
          <w:szCs w:val="24"/>
          <w:shd w:val="clear" w:color="auto" w:fill="FFFFFF"/>
          <w:lang w:val="en-US"/>
        </w:rPr>
      </w:pPr>
      <w:r w:rsidRPr="00DB187E">
        <w:rPr>
          <w:rStyle w:val="notranslate"/>
          <w:rFonts w:cstheme="minorHAnsi"/>
          <w:sz w:val="24"/>
          <w:szCs w:val="24"/>
          <w:shd w:val="clear" w:color="auto" w:fill="FFFFFF"/>
          <w:lang w:val="en-US"/>
        </w:rPr>
        <w:t>Miss van Duyn was allowed to invoke the Directive against the HO directly before the Dutch court (ie vertical direct effect).</w:t>
      </w:r>
      <w:r w:rsidRPr="00DB187E">
        <w:rPr>
          <w:rFonts w:cstheme="minorHAnsi"/>
          <w:sz w:val="24"/>
          <w:szCs w:val="24"/>
          <w:shd w:val="clear" w:color="auto" w:fill="FFFFFF"/>
          <w:lang w:val="en-US"/>
        </w:rPr>
        <w:t> </w:t>
      </w:r>
      <w:r w:rsidRPr="00DB187E">
        <w:rPr>
          <w:rStyle w:val="notranslate"/>
          <w:rFonts w:cstheme="minorHAnsi"/>
          <w:sz w:val="24"/>
          <w:szCs w:val="24"/>
          <w:shd w:val="clear" w:color="auto" w:fill="FFFFFF"/>
          <w:lang w:val="en-US"/>
        </w:rPr>
        <w:t>Article 3 of Directive 64/221 conferred on individuals rights which were enforceable by them in the courts of Member States and which the national courts must protect.</w:t>
      </w:r>
      <w:r w:rsidRPr="00DB187E">
        <w:rPr>
          <w:rFonts w:cstheme="minorHAnsi"/>
          <w:sz w:val="24"/>
          <w:szCs w:val="24"/>
          <w:shd w:val="clear" w:color="auto" w:fill="FFFFFF"/>
          <w:lang w:val="en-US"/>
        </w:rPr>
        <w:t> </w:t>
      </w:r>
      <w:r w:rsidRPr="00DB187E">
        <w:rPr>
          <w:rFonts w:cstheme="minorHAnsi"/>
          <w:sz w:val="24"/>
          <w:szCs w:val="24"/>
          <w:lang w:val="en-US"/>
        </w:rPr>
        <w:br/>
      </w:r>
      <w:r w:rsidRPr="00DB187E">
        <w:rPr>
          <w:rStyle w:val="notranslate"/>
          <w:rFonts w:cstheme="minorHAnsi"/>
          <w:sz w:val="24"/>
          <w:szCs w:val="24"/>
          <w:shd w:val="clear" w:color="auto" w:fill="FFFFFF"/>
          <w:lang w:val="en-US"/>
        </w:rPr>
        <w:t>In relation to its approach to the free movement of workers and public policy within the Treaty of Rome, the court remarked that 'it is a principle of international law, which the EEC Treaty cannot be assumed to disregard in the relations between member states, that a state is precluded from refusing its own nationals the right of entry or residence'.</w:t>
      </w:r>
      <w:r w:rsidRPr="00DB187E">
        <w:rPr>
          <w:rFonts w:cstheme="minorHAnsi"/>
          <w:sz w:val="24"/>
          <w:szCs w:val="24"/>
          <w:shd w:val="clear" w:color="auto" w:fill="FFFFFF"/>
          <w:lang w:val="en-US"/>
        </w:rPr>
        <w:t> </w:t>
      </w:r>
    </w:p>
    <w:p w:rsidR="00DB187E" w:rsidRPr="00DB187E" w:rsidRDefault="00DB187E">
      <w:pPr>
        <w:rPr>
          <w:rFonts w:cstheme="minorHAnsi"/>
          <w:b/>
          <w:sz w:val="24"/>
          <w:szCs w:val="24"/>
          <w:u w:val="single"/>
          <w:shd w:val="clear" w:color="auto" w:fill="FFFFFF"/>
          <w:lang w:val="en-US"/>
        </w:rPr>
      </w:pPr>
      <w:r w:rsidRPr="00DB187E">
        <w:rPr>
          <w:rFonts w:cstheme="minorHAnsi"/>
          <w:b/>
          <w:sz w:val="24"/>
          <w:szCs w:val="24"/>
          <w:u w:val="single"/>
          <w:shd w:val="clear" w:color="auto" w:fill="FFFFFF"/>
          <w:lang w:val="en-US"/>
        </w:rPr>
        <w:t>Link Judgment:</w:t>
      </w:r>
    </w:p>
    <w:p w:rsidR="00DB187E" w:rsidRPr="00DB187E" w:rsidRDefault="00DB187E">
      <w:pPr>
        <w:rPr>
          <w:rFonts w:cstheme="minorHAnsi"/>
          <w:sz w:val="24"/>
          <w:szCs w:val="24"/>
          <w:lang w:val="en-US"/>
        </w:rPr>
      </w:pPr>
      <w:r w:rsidRPr="00DB187E">
        <w:rPr>
          <w:rFonts w:cstheme="minorHAnsi"/>
          <w:sz w:val="24"/>
          <w:szCs w:val="24"/>
          <w:lang w:val="en-US"/>
        </w:rPr>
        <w:t>http://curia.europa.eu/juris/liste.jsf?language=en&amp;num=C-41/74</w:t>
      </w:r>
    </w:p>
    <w:sectPr w:rsidR="00DB187E" w:rsidRPr="00DB187E" w:rsidSect="005C360A">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659B" w:rsidRDefault="0035659B" w:rsidP="00DB187E">
      <w:pPr>
        <w:spacing w:after="0" w:line="240" w:lineRule="auto"/>
      </w:pPr>
      <w:r>
        <w:separator/>
      </w:r>
    </w:p>
  </w:endnote>
  <w:endnote w:type="continuationSeparator" w:id="1">
    <w:p w:rsidR="0035659B" w:rsidRDefault="0035659B" w:rsidP="00DB18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659B" w:rsidRDefault="0035659B" w:rsidP="00DB187E">
      <w:pPr>
        <w:spacing w:after="0" w:line="240" w:lineRule="auto"/>
      </w:pPr>
      <w:r>
        <w:separator/>
      </w:r>
    </w:p>
  </w:footnote>
  <w:footnote w:type="continuationSeparator" w:id="1">
    <w:p w:rsidR="0035659B" w:rsidRDefault="0035659B" w:rsidP="00DB187E">
      <w:pPr>
        <w:spacing w:after="0" w:line="240" w:lineRule="auto"/>
      </w:pPr>
      <w:r>
        <w:continuationSeparator/>
      </w:r>
    </w:p>
  </w:footnote>
  <w:footnote w:id="2">
    <w:p w:rsidR="00DB187E" w:rsidRPr="00DB187E" w:rsidRDefault="00DB187E">
      <w:pPr>
        <w:pStyle w:val="Testonotaapidipagina"/>
        <w:rPr>
          <w:b/>
          <w:lang w:val="en-US"/>
        </w:rPr>
      </w:pPr>
      <w:r>
        <w:rPr>
          <w:rStyle w:val="Rimandonotaapidipagina"/>
        </w:rPr>
        <w:footnoteRef/>
      </w:r>
      <w:r w:rsidRPr="00DB187E">
        <w:rPr>
          <w:lang w:val="en-US"/>
        </w:rPr>
        <w:t xml:space="preserve"> </w:t>
      </w:r>
      <w:r w:rsidRPr="00DB187E">
        <w:rPr>
          <w:rStyle w:val="Enfasigrassetto"/>
          <w:rFonts w:ascii="Lucida Sans Unicode" w:hAnsi="Lucida Sans Unicode" w:cs="Lucida Sans Unicode"/>
          <w:b w:val="0"/>
          <w:color w:val="444444"/>
          <w:sz w:val="17"/>
          <w:szCs w:val="17"/>
          <w:bdr w:val="none" w:sz="0" w:space="0" w:color="auto" w:frame="1"/>
          <w:shd w:val="clear" w:color="auto" w:fill="FFFFFF"/>
          <w:lang w:val="en-US"/>
        </w:rPr>
        <w:t>Judgment of the Court of 4 December 1974. Yvonne van Duyn v Home Office. </w:t>
      </w:r>
      <w:r w:rsidRPr="00DB187E">
        <w:rPr>
          <w:rFonts w:ascii="Lucida Sans Unicode" w:hAnsi="Lucida Sans Unicode" w:cs="Lucida Sans Unicode"/>
          <w:b/>
          <w:bCs/>
          <w:color w:val="444444"/>
          <w:sz w:val="17"/>
          <w:szCs w:val="17"/>
          <w:bdr w:val="none" w:sz="0" w:space="0" w:color="auto" w:frame="1"/>
          <w:shd w:val="clear" w:color="auto" w:fill="FFFFFF"/>
          <w:lang w:val="en-US"/>
        </w:rPr>
        <w:t xml:space="preserve"> </w:t>
      </w:r>
      <w:r w:rsidRPr="00DB187E">
        <w:rPr>
          <w:rStyle w:val="Enfasigrassetto"/>
          <w:rFonts w:ascii="Lucida Sans Unicode" w:hAnsi="Lucida Sans Unicode" w:cs="Lucida Sans Unicode"/>
          <w:b w:val="0"/>
          <w:color w:val="444444"/>
          <w:sz w:val="17"/>
          <w:szCs w:val="17"/>
          <w:bdr w:val="none" w:sz="0" w:space="0" w:color="auto" w:frame="1"/>
          <w:shd w:val="clear" w:color="auto" w:fill="FFFFFF"/>
          <w:lang w:val="en-US"/>
        </w:rPr>
        <w:t>Reference for a preliminary ruling: High Court of Justice, Chancery Division - United Kingdom. </w:t>
      </w:r>
      <w:r w:rsidRPr="00DB187E">
        <w:rPr>
          <w:rFonts w:ascii="Lucida Sans Unicode" w:hAnsi="Lucida Sans Unicode" w:cs="Lucida Sans Unicode"/>
          <w:b/>
          <w:bCs/>
          <w:color w:val="444444"/>
          <w:sz w:val="17"/>
          <w:szCs w:val="17"/>
          <w:bdr w:val="none" w:sz="0" w:space="0" w:color="auto" w:frame="1"/>
          <w:shd w:val="clear" w:color="auto" w:fill="FFFFFF"/>
          <w:lang w:val="en-US"/>
        </w:rPr>
        <w:t xml:space="preserve"> </w:t>
      </w:r>
      <w:r w:rsidRPr="00DB187E">
        <w:rPr>
          <w:rStyle w:val="Enfasigrassetto"/>
          <w:rFonts w:ascii="Lucida Sans Unicode" w:hAnsi="Lucida Sans Unicode" w:cs="Lucida Sans Unicode"/>
          <w:b w:val="0"/>
          <w:color w:val="444444"/>
          <w:sz w:val="17"/>
          <w:szCs w:val="17"/>
          <w:bdr w:val="none" w:sz="0" w:space="0" w:color="auto" w:frame="1"/>
          <w:shd w:val="clear" w:color="auto" w:fill="FFFFFF"/>
          <w:lang w:val="en-US"/>
        </w:rPr>
        <w:t>Public policy. Case 41-74.</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283"/>
  <w:characterSpacingControl w:val="doNotCompress"/>
  <w:footnotePr>
    <w:footnote w:id="0"/>
    <w:footnote w:id="1"/>
  </w:footnotePr>
  <w:endnotePr>
    <w:endnote w:id="0"/>
    <w:endnote w:id="1"/>
  </w:endnotePr>
  <w:compat/>
  <w:rsids>
    <w:rsidRoot w:val="00DB187E"/>
    <w:rsid w:val="0035659B"/>
    <w:rsid w:val="005C360A"/>
    <w:rsid w:val="00772B56"/>
    <w:rsid w:val="00DB187E"/>
    <w:rsid w:val="00E05705"/>
    <w:rsid w:val="00FD2FB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C360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DB187E"/>
    <w:rPr>
      <w:color w:val="0000FF"/>
      <w:u w:val="single"/>
    </w:rPr>
  </w:style>
  <w:style w:type="paragraph" w:styleId="Testonotaapidipagina">
    <w:name w:val="footnote text"/>
    <w:basedOn w:val="Normale"/>
    <w:link w:val="TestonotaapidipaginaCarattere"/>
    <w:uiPriority w:val="99"/>
    <w:semiHidden/>
    <w:unhideWhenUsed/>
    <w:rsid w:val="00DB187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B187E"/>
    <w:rPr>
      <w:sz w:val="20"/>
      <w:szCs w:val="20"/>
    </w:rPr>
  </w:style>
  <w:style w:type="character" w:styleId="Rimandonotaapidipagina">
    <w:name w:val="footnote reference"/>
    <w:basedOn w:val="Carpredefinitoparagrafo"/>
    <w:uiPriority w:val="99"/>
    <w:semiHidden/>
    <w:unhideWhenUsed/>
    <w:rsid w:val="00DB187E"/>
    <w:rPr>
      <w:vertAlign w:val="superscript"/>
    </w:rPr>
  </w:style>
  <w:style w:type="character" w:styleId="Enfasigrassetto">
    <w:name w:val="Strong"/>
    <w:basedOn w:val="Carpredefinitoparagrafo"/>
    <w:uiPriority w:val="22"/>
    <w:qFormat/>
    <w:rsid w:val="00DB187E"/>
    <w:rPr>
      <w:b/>
      <w:bCs/>
    </w:rPr>
  </w:style>
  <w:style w:type="character" w:styleId="Collegamentovisitato">
    <w:name w:val="FollowedHyperlink"/>
    <w:basedOn w:val="Carpredefinitoparagrafo"/>
    <w:uiPriority w:val="99"/>
    <w:semiHidden/>
    <w:unhideWhenUsed/>
    <w:rsid w:val="00DB187E"/>
    <w:rPr>
      <w:color w:val="800080" w:themeColor="followedHyperlink"/>
      <w:u w:val="single"/>
    </w:rPr>
  </w:style>
  <w:style w:type="character" w:customStyle="1" w:styleId="notranslate">
    <w:name w:val="notranslate"/>
    <w:basedOn w:val="Carpredefinitoparagrafo"/>
    <w:rsid w:val="00DB187E"/>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841CB-3ACD-4D29-A0AD-39182B63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221</Words>
  <Characters>1261</Characters>
  <Application>Microsoft Office Word</Application>
  <DocSecurity>0</DocSecurity>
  <Lines>10</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2</cp:revision>
  <dcterms:created xsi:type="dcterms:W3CDTF">2017-11-06T14:46:00Z</dcterms:created>
  <dcterms:modified xsi:type="dcterms:W3CDTF">2017-11-06T15:17:00Z</dcterms:modified>
</cp:coreProperties>
</file>