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590" w:rsidRPr="008A4590" w:rsidRDefault="008A4590">
      <w:pPr>
        <w:rPr>
          <w:rFonts w:cstheme="minorHAnsi"/>
          <w:color w:val="212121"/>
          <w:shd w:val="clear" w:color="auto" w:fill="FFFFFF"/>
          <w:lang w:val="en-US"/>
        </w:rPr>
      </w:pPr>
      <w:r w:rsidRPr="008A4590">
        <w:rPr>
          <w:rFonts w:cstheme="minorHAnsi"/>
          <w:b/>
          <w:lang w:val="en-US"/>
        </w:rPr>
        <w:t>ECJ, Ireland Case</w:t>
      </w:r>
      <w:r w:rsidRPr="008A4590">
        <w:rPr>
          <w:rStyle w:val="Rimandonotaapidipagina"/>
          <w:rFonts w:cstheme="minorHAnsi"/>
          <w:lang w:val="en-US"/>
        </w:rPr>
        <w:footnoteReference w:id="2"/>
      </w:r>
      <w:r w:rsidRPr="008A4590">
        <w:rPr>
          <w:rFonts w:cstheme="minorHAnsi"/>
          <w:lang w:val="en-US"/>
        </w:rPr>
        <w:t>.</w:t>
      </w:r>
      <w:r w:rsidRPr="008A4590">
        <w:rPr>
          <w:rFonts w:cstheme="minorHAnsi"/>
          <w:lang w:val="en-US"/>
        </w:rPr>
        <w:br/>
      </w:r>
    </w:p>
    <w:p w:rsidR="001B6A96" w:rsidRPr="008A4590" w:rsidRDefault="008A4590" w:rsidP="008A4590">
      <w:pPr>
        <w:jc w:val="both"/>
        <w:rPr>
          <w:rFonts w:cstheme="minorHAnsi"/>
          <w:color w:val="212121"/>
          <w:shd w:val="clear" w:color="auto" w:fill="FFFFFF"/>
          <w:lang w:val="en-US"/>
        </w:rPr>
      </w:pPr>
      <w:r w:rsidRPr="008A4590">
        <w:rPr>
          <w:rFonts w:cstheme="minorHAnsi"/>
          <w:color w:val="212121"/>
          <w:shd w:val="clear" w:color="auto" w:fill="FFFFFF"/>
          <w:lang w:val="en-US"/>
        </w:rPr>
        <w:t>Once again in the same year, the Court of Justice is back on the issue of support to banks in crisis and affirms the centrality of the stability of the European financial system, contributing to shaping the law European primary. After Slovenia and Cyprus, this case concerns Ireland. Clarify that discipline does not preclude a Member State from requiring a recapitalization of a credit institution in difficulty, the lack of which could severely affect the economy of the reference State and others countries of the Union. The interests of shareholders and creditors cannot be considered prevalent in every circumstance in relation to the public interest to the stability of the financial system. In particular, it does not violate European law the injunctive ordinance adopted by the Irish Supreme Court in a situation of grave disturbance of the economy and of the financial system that threatens stability Union. In the case the order concerned the capital increase of a company for shares, without the consent of the general meeting, by issuing new shares for an amount lower than their nominal value and without option right in favor of existing shareholders. The decision follows other decisions of the same year concerning the adoption of support measures to banks in other European countries. It is particularly important in the context of continuing instability of the banking sector at European and national level, helping to outline the position of case law European issue.</w:t>
      </w:r>
    </w:p>
    <w:p w:rsidR="008A4590" w:rsidRPr="008A4590" w:rsidRDefault="008A4590">
      <w:pPr>
        <w:rPr>
          <w:rFonts w:cstheme="minorHAnsi"/>
          <w:lang w:val="en-US"/>
        </w:rPr>
      </w:pPr>
      <w:r w:rsidRPr="008A4590">
        <w:rPr>
          <w:rFonts w:cstheme="minorHAnsi"/>
          <w:b/>
          <w:u w:val="single"/>
          <w:lang w:val="en-US"/>
        </w:rPr>
        <w:t>Link Judgment</w:t>
      </w:r>
      <w:r w:rsidRPr="008A4590">
        <w:rPr>
          <w:rFonts w:cstheme="minorHAnsi"/>
          <w:lang w:val="en-US"/>
        </w:rPr>
        <w:t>:</w:t>
      </w:r>
    </w:p>
    <w:p w:rsidR="008A4590" w:rsidRPr="008A4590" w:rsidRDefault="008A4590">
      <w:pPr>
        <w:rPr>
          <w:rFonts w:cstheme="minorHAnsi"/>
          <w:lang w:val="en-US"/>
        </w:rPr>
      </w:pPr>
      <w:r w:rsidRPr="008A4590">
        <w:rPr>
          <w:rFonts w:cstheme="minorHAnsi"/>
          <w:lang w:val="en-US"/>
        </w:rPr>
        <w:t>http://curia.europa.eu/juris/liste.jsf?language=en&amp;num=C-41/15</w:t>
      </w:r>
    </w:p>
    <w:sectPr w:rsidR="008A4590" w:rsidRPr="008A4590" w:rsidSect="001B6A96">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6E7C" w:rsidRDefault="00986E7C" w:rsidP="008A4590">
      <w:pPr>
        <w:spacing w:after="0" w:line="240" w:lineRule="auto"/>
      </w:pPr>
      <w:r>
        <w:separator/>
      </w:r>
    </w:p>
  </w:endnote>
  <w:endnote w:type="continuationSeparator" w:id="1">
    <w:p w:rsidR="00986E7C" w:rsidRDefault="00986E7C" w:rsidP="008A45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6E7C" w:rsidRDefault="00986E7C" w:rsidP="008A4590">
      <w:pPr>
        <w:spacing w:after="0" w:line="240" w:lineRule="auto"/>
      </w:pPr>
      <w:r>
        <w:separator/>
      </w:r>
    </w:p>
  </w:footnote>
  <w:footnote w:type="continuationSeparator" w:id="1">
    <w:p w:rsidR="00986E7C" w:rsidRDefault="00986E7C" w:rsidP="008A4590">
      <w:pPr>
        <w:spacing w:after="0" w:line="240" w:lineRule="auto"/>
      </w:pPr>
      <w:r>
        <w:continuationSeparator/>
      </w:r>
    </w:p>
  </w:footnote>
  <w:footnote w:id="2">
    <w:p w:rsidR="008A4590" w:rsidRPr="008A4590" w:rsidRDefault="008A4590" w:rsidP="008A4590">
      <w:pPr>
        <w:pStyle w:val="Testonotaapidipagina"/>
        <w:jc w:val="both"/>
        <w:rPr>
          <w:rFonts w:cstheme="minorHAnsi"/>
          <w:b/>
          <w:sz w:val="18"/>
          <w:szCs w:val="18"/>
          <w:lang w:val="en-US"/>
        </w:rPr>
      </w:pPr>
      <w:r w:rsidRPr="008A4590">
        <w:rPr>
          <w:rStyle w:val="Rimandonotaapidipagina"/>
          <w:rFonts w:cstheme="minorHAnsi"/>
          <w:b/>
          <w:sz w:val="18"/>
          <w:szCs w:val="18"/>
        </w:rPr>
        <w:footnoteRef/>
      </w:r>
      <w:r w:rsidRPr="008A4590">
        <w:rPr>
          <w:rFonts w:cstheme="minorHAnsi"/>
          <w:b/>
          <w:sz w:val="18"/>
          <w:szCs w:val="18"/>
          <w:lang w:val="en-US"/>
        </w:rPr>
        <w:t xml:space="preserve"> </w:t>
      </w:r>
      <w:r w:rsidRPr="008A4590">
        <w:rPr>
          <w:rStyle w:val="Enfasigrassetto"/>
          <w:rFonts w:cstheme="minorHAnsi"/>
          <w:b w:val="0"/>
          <w:color w:val="444444"/>
          <w:sz w:val="18"/>
          <w:szCs w:val="18"/>
          <w:bdr w:val="none" w:sz="0" w:space="0" w:color="auto" w:frame="1"/>
          <w:shd w:val="clear" w:color="auto" w:fill="FFFFFF"/>
          <w:lang w:val="en-US"/>
        </w:rPr>
        <w:t>Judgment of the Court (Grand Chamber) of 8 November 2016.</w:t>
      </w:r>
      <w:r w:rsidRPr="008A4590">
        <w:rPr>
          <w:rFonts w:cstheme="minorHAnsi"/>
          <w:b/>
          <w:bCs/>
          <w:color w:val="444444"/>
          <w:sz w:val="18"/>
          <w:szCs w:val="18"/>
          <w:bdr w:val="none" w:sz="0" w:space="0" w:color="auto" w:frame="1"/>
          <w:shd w:val="clear" w:color="auto" w:fill="FFFFFF"/>
          <w:lang w:val="en-US"/>
        </w:rPr>
        <w:t xml:space="preserve"> </w:t>
      </w:r>
      <w:r w:rsidRPr="008A4590">
        <w:rPr>
          <w:rStyle w:val="Enfasigrassetto"/>
          <w:rFonts w:cstheme="minorHAnsi"/>
          <w:b w:val="0"/>
          <w:color w:val="444444"/>
          <w:sz w:val="18"/>
          <w:szCs w:val="18"/>
          <w:bdr w:val="none" w:sz="0" w:space="0" w:color="auto" w:frame="1"/>
          <w:shd w:val="clear" w:color="auto" w:fill="FFFFFF"/>
          <w:lang w:val="en-US"/>
        </w:rPr>
        <w:t>Gerard Dowling and Others v Minister for Finance.</w:t>
      </w:r>
      <w:r w:rsidRPr="008A4590">
        <w:rPr>
          <w:rFonts w:cstheme="minorHAnsi"/>
          <w:b/>
          <w:bCs/>
          <w:color w:val="444444"/>
          <w:sz w:val="18"/>
          <w:szCs w:val="18"/>
          <w:bdr w:val="none" w:sz="0" w:space="0" w:color="auto" w:frame="1"/>
          <w:shd w:val="clear" w:color="auto" w:fill="FFFFFF"/>
          <w:lang w:val="en-US"/>
        </w:rPr>
        <w:br/>
      </w:r>
      <w:r w:rsidRPr="008A4590">
        <w:rPr>
          <w:rStyle w:val="Enfasigrassetto"/>
          <w:rFonts w:cstheme="minorHAnsi"/>
          <w:b w:val="0"/>
          <w:color w:val="444444"/>
          <w:sz w:val="18"/>
          <w:szCs w:val="18"/>
          <w:bdr w:val="none" w:sz="0" w:space="0" w:color="auto" w:frame="1"/>
          <w:shd w:val="clear" w:color="auto" w:fill="FFFFFF"/>
          <w:lang w:val="en-US"/>
        </w:rPr>
        <w:t>Request for a preliminary ruling from the High Court (Irland).</w:t>
      </w:r>
      <w:r w:rsidRPr="008A4590">
        <w:rPr>
          <w:rFonts w:cstheme="minorHAnsi"/>
          <w:b/>
          <w:bCs/>
          <w:color w:val="444444"/>
          <w:sz w:val="18"/>
          <w:szCs w:val="18"/>
          <w:bdr w:val="none" w:sz="0" w:space="0" w:color="auto" w:frame="1"/>
          <w:shd w:val="clear" w:color="auto" w:fill="FFFFFF"/>
          <w:lang w:val="en-US"/>
        </w:rPr>
        <w:t xml:space="preserve"> </w:t>
      </w:r>
      <w:r w:rsidRPr="008A4590">
        <w:rPr>
          <w:rStyle w:val="Enfasigrassetto"/>
          <w:rFonts w:cstheme="minorHAnsi"/>
          <w:b w:val="0"/>
          <w:color w:val="444444"/>
          <w:sz w:val="18"/>
          <w:szCs w:val="18"/>
          <w:bdr w:val="none" w:sz="0" w:space="0" w:color="auto" w:frame="1"/>
          <w:shd w:val="clear" w:color="auto" w:fill="FFFFFF"/>
          <w:lang w:val="en-US"/>
        </w:rPr>
        <w:t>Regulation (EU) No 407/2010 — European Financial Stabilisation Mechanism — Implementing Decision 2011/77/EU — European Union financial assistance to Ireland — Recapitalisation of national banks — Company law — Second Directive 77/91/EEC — Articles 8, 25 and 29 — Recapitalisation of a bank by means of judicial direction order — Increase in share capital without general meeting decision and without the shares issued being offered on a pre</w:t>
      </w:r>
      <w:r w:rsidRPr="008A4590">
        <w:rPr>
          <w:rStyle w:val="Enfasigrassetto"/>
          <w:rFonts w:cstheme="minorHAnsi"/>
          <w:b w:val="0"/>
          <w:color w:val="444444"/>
          <w:sz w:val="18"/>
          <w:szCs w:val="18"/>
          <w:bdr w:val="none" w:sz="0" w:space="0" w:color="auto" w:frame="1"/>
          <w:shd w:val="clear" w:color="auto" w:fill="FFFFFF"/>
          <w:lang w:val="en-US"/>
        </w:rPr>
        <w:noBreakHyphen/>
        <w:t>emptive basis to existing shareholders — Issue of new shares at a price lower than their nominal value.</w:t>
      </w:r>
      <w:r w:rsidRPr="008A4590">
        <w:rPr>
          <w:rFonts w:cstheme="minorHAnsi"/>
          <w:b/>
          <w:bCs/>
          <w:color w:val="444444"/>
          <w:sz w:val="18"/>
          <w:szCs w:val="18"/>
          <w:bdr w:val="none" w:sz="0" w:space="0" w:color="auto" w:frame="1"/>
          <w:shd w:val="clear" w:color="auto" w:fill="FFFFFF"/>
          <w:lang w:val="en-US"/>
        </w:rPr>
        <w:br/>
      </w:r>
      <w:r w:rsidRPr="008A4590">
        <w:rPr>
          <w:rStyle w:val="Enfasigrassetto"/>
          <w:rFonts w:cstheme="minorHAnsi"/>
          <w:b w:val="0"/>
          <w:color w:val="444444"/>
          <w:sz w:val="18"/>
          <w:szCs w:val="18"/>
          <w:bdr w:val="none" w:sz="0" w:space="0" w:color="auto" w:frame="1"/>
          <w:shd w:val="clear" w:color="auto" w:fill="FFFFFF"/>
          <w:lang w:val="en-US"/>
        </w:rPr>
        <w:t>Case C-41/15.</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283"/>
  <w:characterSpacingControl w:val="doNotCompress"/>
  <w:footnotePr>
    <w:footnote w:id="0"/>
    <w:footnote w:id="1"/>
  </w:footnotePr>
  <w:endnotePr>
    <w:endnote w:id="0"/>
    <w:endnote w:id="1"/>
  </w:endnotePr>
  <w:compat/>
  <w:rsids>
    <w:rsidRoot w:val="008A4590"/>
    <w:rsid w:val="001B6A96"/>
    <w:rsid w:val="008A4590"/>
    <w:rsid w:val="00986E7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B6A9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8A4590"/>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A4590"/>
    <w:rPr>
      <w:sz w:val="20"/>
      <w:szCs w:val="20"/>
    </w:rPr>
  </w:style>
  <w:style w:type="character" w:styleId="Rimandonotaapidipagina">
    <w:name w:val="footnote reference"/>
    <w:basedOn w:val="Carpredefinitoparagrafo"/>
    <w:uiPriority w:val="99"/>
    <w:semiHidden/>
    <w:unhideWhenUsed/>
    <w:rsid w:val="008A4590"/>
    <w:rPr>
      <w:vertAlign w:val="superscript"/>
    </w:rPr>
  </w:style>
  <w:style w:type="character" w:styleId="Enfasigrassetto">
    <w:name w:val="Strong"/>
    <w:basedOn w:val="Carpredefinitoparagrafo"/>
    <w:uiPriority w:val="22"/>
    <w:qFormat/>
    <w:rsid w:val="008A459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42EAC-705B-4213-96F1-AF463A2A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236</Words>
  <Characters>1349</Characters>
  <Application>Microsoft Office Word</Application>
  <DocSecurity>0</DocSecurity>
  <Lines>11</Lines>
  <Paragraphs>3</Paragraphs>
  <ScaleCrop>false</ScaleCrop>
  <Company/>
  <LinksUpToDate>false</LinksUpToDate>
  <CharactersWithSpaces>1582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1</cp:revision>
  <dcterms:created xsi:type="dcterms:W3CDTF">2017-11-06T17:54:00Z</dcterms:created>
  <dcterms:modified xsi:type="dcterms:W3CDTF">2017-11-06T18:01:00Z</dcterms:modified>
</cp:coreProperties>
</file>