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EFE1" w14:textId="5BF4C870" w:rsidR="00FE195F" w:rsidRPr="00F7032A" w:rsidRDefault="00F7032A" w:rsidP="00F703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FORMAL </w:t>
      </w:r>
      <w:r w:rsidRPr="00F7032A">
        <w:rPr>
          <w:b/>
          <w:sz w:val="52"/>
          <w:szCs w:val="52"/>
        </w:rPr>
        <w:t>STUDY PLAN</w:t>
      </w:r>
      <w:r>
        <w:rPr>
          <w:b/>
          <w:sz w:val="52"/>
          <w:szCs w:val="52"/>
        </w:rPr>
        <w:t xml:space="preserve"> </w:t>
      </w:r>
    </w:p>
    <w:p w14:paraId="6EB4895A" w14:textId="7C1F0CF7" w:rsidR="00FE195F" w:rsidRPr="00CE59B5" w:rsidRDefault="00F7032A" w:rsidP="00CE59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STUDENTS OF </w:t>
      </w:r>
      <w:r w:rsidR="004B7CEB" w:rsidRPr="00564D08">
        <w:rPr>
          <w:b/>
          <w:sz w:val="36"/>
          <w:szCs w:val="36"/>
        </w:rPr>
        <w:t xml:space="preserve">MSC </w:t>
      </w:r>
      <w:r w:rsidR="00E452BA">
        <w:rPr>
          <w:b/>
          <w:sz w:val="36"/>
          <w:szCs w:val="36"/>
        </w:rPr>
        <w:t>EUROPEAN ECONOMY AND BUSINESS LAW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6380"/>
        <w:gridCol w:w="4111"/>
      </w:tblGrid>
      <w:tr w:rsidR="00B7265F" w:rsidRPr="00FE195F" w14:paraId="692A4A73" w14:textId="77777777" w:rsidTr="00E452BA">
        <w:tc>
          <w:tcPr>
            <w:tcW w:w="6380" w:type="dxa"/>
          </w:tcPr>
          <w:p w14:paraId="179AFA05" w14:textId="71B77341" w:rsidR="00B7265F" w:rsidRPr="00FE195F" w:rsidRDefault="00B7265F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111" w:type="dxa"/>
          </w:tcPr>
          <w:p w14:paraId="2F7651BB" w14:textId="77777777" w:rsidR="00B7265F" w:rsidRPr="00FE195F" w:rsidRDefault="00B7265F">
            <w:pPr>
              <w:rPr>
                <w:sz w:val="24"/>
                <w:szCs w:val="24"/>
              </w:rPr>
            </w:pPr>
          </w:p>
        </w:tc>
      </w:tr>
      <w:tr w:rsidR="00B7265F" w:rsidRPr="00FE195F" w14:paraId="18EFB52F" w14:textId="77777777" w:rsidTr="00E452BA">
        <w:tc>
          <w:tcPr>
            <w:tcW w:w="6380" w:type="dxa"/>
          </w:tcPr>
          <w:p w14:paraId="1676FD9D" w14:textId="4B8A5A7C" w:rsidR="00B7265F" w:rsidRPr="00FE195F" w:rsidRDefault="00B7265F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4111" w:type="dxa"/>
          </w:tcPr>
          <w:p w14:paraId="6DEC2FB9" w14:textId="77777777" w:rsidR="00B7265F" w:rsidRPr="00FE195F" w:rsidRDefault="00B7265F">
            <w:pPr>
              <w:rPr>
                <w:sz w:val="24"/>
                <w:szCs w:val="24"/>
              </w:rPr>
            </w:pPr>
          </w:p>
        </w:tc>
      </w:tr>
      <w:tr w:rsidR="00B7265F" w:rsidRPr="00FE195F" w14:paraId="00F68CB0" w14:textId="77777777" w:rsidTr="00E452BA">
        <w:tc>
          <w:tcPr>
            <w:tcW w:w="6380" w:type="dxa"/>
          </w:tcPr>
          <w:p w14:paraId="3F0691FC" w14:textId="61A899AA" w:rsidR="00B7265F" w:rsidRPr="00FE195F" w:rsidRDefault="00B7265F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>STUDENT REGISTRATION NUMBER</w:t>
            </w:r>
          </w:p>
        </w:tc>
        <w:tc>
          <w:tcPr>
            <w:tcW w:w="4111" w:type="dxa"/>
          </w:tcPr>
          <w:p w14:paraId="7A1B3614" w14:textId="77777777" w:rsidR="00B7265F" w:rsidRPr="00FE195F" w:rsidRDefault="00B7265F">
            <w:pPr>
              <w:rPr>
                <w:sz w:val="24"/>
                <w:szCs w:val="24"/>
              </w:rPr>
            </w:pPr>
          </w:p>
        </w:tc>
      </w:tr>
      <w:tr w:rsidR="00E452BA" w:rsidRPr="00FE195F" w14:paraId="72F4FFC8" w14:textId="77777777" w:rsidTr="00E452BA">
        <w:tc>
          <w:tcPr>
            <w:tcW w:w="6380" w:type="dxa"/>
            <w:vMerge w:val="restart"/>
          </w:tcPr>
          <w:p w14:paraId="50BF7338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CORE COURSES </w:t>
            </w:r>
          </w:p>
          <w:p w14:paraId="0065BB64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THE </w:t>
            </w:r>
          </w:p>
          <w:p w14:paraId="707E6EC2" w14:textId="676714A4" w:rsidR="00E452BA" w:rsidRPr="0030342C" w:rsidRDefault="00E452BA" w:rsidP="007C5C3F">
            <w:pPr>
              <w:jc w:val="right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C5C3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-202</w:t>
            </w:r>
            <w:r w:rsidR="007C5C3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COHORT</w:t>
            </w:r>
          </w:p>
        </w:tc>
        <w:tc>
          <w:tcPr>
            <w:tcW w:w="4111" w:type="dxa"/>
          </w:tcPr>
          <w:p w14:paraId="3D6BFDD1" w14:textId="5724DBE3" w:rsidR="00E452BA" w:rsidRPr="006126BF" w:rsidRDefault="00E452BA" w:rsidP="0030342C">
            <w:pPr>
              <w:rPr>
                <w:sz w:val="24"/>
                <w:szCs w:val="24"/>
              </w:rPr>
            </w:pPr>
            <w:r w:rsidRPr="006126BF">
              <w:rPr>
                <w:lang w:val="en-US"/>
              </w:rPr>
              <w:t>Game Theory and Industrial Organization</w:t>
            </w:r>
          </w:p>
        </w:tc>
      </w:tr>
      <w:tr w:rsidR="00E452BA" w:rsidRPr="00FE195F" w14:paraId="58620732" w14:textId="77777777" w:rsidTr="00E452BA">
        <w:tc>
          <w:tcPr>
            <w:tcW w:w="6380" w:type="dxa"/>
            <w:vMerge/>
          </w:tcPr>
          <w:p w14:paraId="48673C8D" w14:textId="57365C42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8AD6DF" w14:textId="6FD85548" w:rsidR="00E452BA" w:rsidRPr="006126BF" w:rsidRDefault="00E452BA" w:rsidP="0030342C">
            <w:pPr>
              <w:rPr>
                <w:sz w:val="24"/>
                <w:szCs w:val="24"/>
              </w:rPr>
            </w:pPr>
            <w:r w:rsidRPr="006126BF">
              <w:t>Statistical Learning</w:t>
            </w:r>
          </w:p>
        </w:tc>
      </w:tr>
      <w:tr w:rsidR="00E452BA" w:rsidRPr="00FE195F" w14:paraId="1C0950A8" w14:textId="77777777" w:rsidTr="00E452BA">
        <w:tc>
          <w:tcPr>
            <w:tcW w:w="6380" w:type="dxa"/>
            <w:vMerge/>
          </w:tcPr>
          <w:p w14:paraId="344AF652" w14:textId="5B7E3EB8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D86E39" w14:textId="40199F9A" w:rsidR="00E452BA" w:rsidRPr="006126BF" w:rsidRDefault="00E452BA" w:rsidP="0030342C">
            <w:pPr>
              <w:rPr>
                <w:sz w:val="24"/>
                <w:szCs w:val="24"/>
              </w:rPr>
            </w:pPr>
            <w:r w:rsidRPr="006126BF">
              <w:rPr>
                <w:lang w:val="en-US"/>
              </w:rPr>
              <w:t>European Institutions, Law and Markets</w:t>
            </w:r>
          </w:p>
        </w:tc>
      </w:tr>
      <w:tr w:rsidR="00E452BA" w:rsidRPr="00FE195F" w14:paraId="5B8D9937" w14:textId="77777777" w:rsidTr="00E452BA">
        <w:tc>
          <w:tcPr>
            <w:tcW w:w="6380" w:type="dxa"/>
            <w:vMerge/>
          </w:tcPr>
          <w:p w14:paraId="7349C59E" w14:textId="15390485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2F2439" w14:textId="37F7731F" w:rsidR="00E452BA" w:rsidRPr="006126BF" w:rsidRDefault="00E452BA" w:rsidP="0030342C">
            <w:pPr>
              <w:rPr>
                <w:sz w:val="24"/>
                <w:szCs w:val="24"/>
              </w:rPr>
            </w:pPr>
            <w:r w:rsidRPr="006126BF">
              <w:rPr>
                <w:lang w:val="en-US"/>
              </w:rPr>
              <w:t>International Economics</w:t>
            </w:r>
          </w:p>
        </w:tc>
      </w:tr>
      <w:tr w:rsidR="00E452BA" w:rsidRPr="00FE195F" w14:paraId="7D77910E" w14:textId="77777777" w:rsidTr="00E452BA">
        <w:tc>
          <w:tcPr>
            <w:tcW w:w="6380" w:type="dxa"/>
            <w:vMerge/>
          </w:tcPr>
          <w:p w14:paraId="3F49CA65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E6632E" w14:textId="23A013DF" w:rsidR="00E452BA" w:rsidRPr="006126BF" w:rsidRDefault="00AA5FCB" w:rsidP="0030342C">
            <w:pPr>
              <w:rPr>
                <w:sz w:val="24"/>
                <w:szCs w:val="24"/>
              </w:rPr>
            </w:pPr>
            <w:r>
              <w:t>Public Finance</w:t>
            </w:r>
          </w:p>
        </w:tc>
      </w:tr>
      <w:tr w:rsidR="00E452BA" w:rsidRPr="00FE195F" w14:paraId="4AEDC026" w14:textId="77777777" w:rsidTr="00E452BA">
        <w:tc>
          <w:tcPr>
            <w:tcW w:w="6380" w:type="dxa"/>
            <w:vMerge/>
          </w:tcPr>
          <w:p w14:paraId="57C9CAED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7AD942" w14:textId="4BE4CD50" w:rsidR="00E452BA" w:rsidRPr="006126BF" w:rsidRDefault="00E452BA" w:rsidP="0030342C">
            <w:pPr>
              <w:rPr>
                <w:sz w:val="24"/>
                <w:szCs w:val="24"/>
              </w:rPr>
            </w:pPr>
            <w:r w:rsidRPr="006126BF">
              <w:rPr>
                <w:lang w:val="en-US"/>
              </w:rPr>
              <w:t>European Economic History</w:t>
            </w:r>
          </w:p>
        </w:tc>
      </w:tr>
      <w:tr w:rsidR="00E452BA" w:rsidRPr="00FE195F" w14:paraId="7C4AF1B6" w14:textId="77777777" w:rsidTr="00E452BA">
        <w:tc>
          <w:tcPr>
            <w:tcW w:w="6380" w:type="dxa"/>
            <w:vMerge/>
          </w:tcPr>
          <w:p w14:paraId="615EBDA6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9E7714" w14:textId="10711B53" w:rsidR="00E452BA" w:rsidRPr="006126BF" w:rsidRDefault="00E452BA" w:rsidP="0030342C">
            <w:pPr>
              <w:rPr>
                <w:sz w:val="24"/>
                <w:szCs w:val="24"/>
              </w:rPr>
            </w:pPr>
            <w:r w:rsidRPr="006126BF">
              <w:rPr>
                <w:lang w:val="en-US"/>
              </w:rPr>
              <w:t>Contemporary Management</w:t>
            </w:r>
          </w:p>
        </w:tc>
      </w:tr>
      <w:tr w:rsidR="00E452BA" w:rsidRPr="00FE195F" w14:paraId="1CB68603" w14:textId="77777777" w:rsidTr="00E452BA">
        <w:tc>
          <w:tcPr>
            <w:tcW w:w="6380" w:type="dxa"/>
            <w:vMerge/>
          </w:tcPr>
          <w:p w14:paraId="6F43B953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29A548" w14:textId="47423D26" w:rsidR="00E452BA" w:rsidRPr="006126BF" w:rsidRDefault="00E452BA" w:rsidP="0030342C">
            <w:pPr>
              <w:rPr>
                <w:lang w:val="en-US"/>
              </w:rPr>
            </w:pPr>
            <w:r w:rsidRPr="006126BF">
              <w:rPr>
                <w:lang w:val="en-US"/>
              </w:rPr>
              <w:t>European Administrative Law</w:t>
            </w:r>
          </w:p>
        </w:tc>
      </w:tr>
      <w:tr w:rsidR="00E452BA" w:rsidRPr="00FE195F" w14:paraId="168B3B67" w14:textId="77777777" w:rsidTr="00E452BA">
        <w:tc>
          <w:tcPr>
            <w:tcW w:w="6380" w:type="dxa"/>
            <w:vMerge/>
          </w:tcPr>
          <w:p w14:paraId="2FABF91A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8027FE" w14:textId="3396D4C0" w:rsidR="00E452BA" w:rsidRPr="006126BF" w:rsidRDefault="00E452BA" w:rsidP="0030342C">
            <w:pPr>
              <w:rPr>
                <w:lang w:val="en-US"/>
              </w:rPr>
            </w:pPr>
            <w:r w:rsidRPr="006126BF">
              <w:rPr>
                <w:lang w:val="en-US"/>
              </w:rPr>
              <w:t>Management of PA and NGOs</w:t>
            </w:r>
          </w:p>
        </w:tc>
      </w:tr>
      <w:tr w:rsidR="00E452BA" w:rsidRPr="00FE195F" w14:paraId="0443DC91" w14:textId="77777777" w:rsidTr="00E452BA">
        <w:tc>
          <w:tcPr>
            <w:tcW w:w="6380" w:type="dxa"/>
            <w:vMerge/>
          </w:tcPr>
          <w:p w14:paraId="242B38B7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2B7C14" w14:textId="66B9F82D" w:rsidR="00E452BA" w:rsidRPr="006126BF" w:rsidRDefault="00E452BA" w:rsidP="007C5C3F">
            <w:pPr>
              <w:rPr>
                <w:lang w:val="en-US"/>
              </w:rPr>
            </w:pPr>
            <w:r w:rsidRPr="006126BF">
              <w:rPr>
                <w:lang w:val="en-US"/>
              </w:rPr>
              <w:t>Political Econom</w:t>
            </w:r>
            <w:r w:rsidR="007C5C3F">
              <w:rPr>
                <w:lang w:val="en-US"/>
              </w:rPr>
              <w:t>ics</w:t>
            </w:r>
            <w:r w:rsidRPr="006126BF">
              <w:rPr>
                <w:lang w:val="en-US"/>
              </w:rPr>
              <w:t xml:space="preserve"> and Public </w:t>
            </w:r>
            <w:r w:rsidR="007C5C3F">
              <w:rPr>
                <w:lang w:val="en-US"/>
              </w:rPr>
              <w:t>Economics</w:t>
            </w:r>
          </w:p>
        </w:tc>
      </w:tr>
      <w:tr w:rsidR="00E452BA" w:rsidRPr="00FE195F" w14:paraId="7C3CE3CA" w14:textId="77777777" w:rsidTr="00E452BA">
        <w:tc>
          <w:tcPr>
            <w:tcW w:w="6380" w:type="dxa"/>
            <w:vMerge/>
          </w:tcPr>
          <w:p w14:paraId="38B3B407" w14:textId="77777777" w:rsidR="00E452BA" w:rsidRDefault="00E452BA" w:rsidP="007C0C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0E4A15" w14:textId="33A770BE" w:rsidR="00E452BA" w:rsidRPr="006126BF" w:rsidRDefault="00E452BA" w:rsidP="00E452BA">
            <w:pPr>
              <w:rPr>
                <w:lang w:val="en-US"/>
              </w:rPr>
            </w:pPr>
            <w:r w:rsidRPr="006126BF">
              <w:rPr>
                <w:lang w:val="en-US"/>
              </w:rPr>
              <w:t>European Economy and Policies</w:t>
            </w:r>
          </w:p>
        </w:tc>
      </w:tr>
      <w:tr w:rsidR="0030342C" w:rsidRPr="00FE195F" w14:paraId="0790A51F" w14:textId="77777777" w:rsidTr="00E452BA">
        <w:tc>
          <w:tcPr>
            <w:tcW w:w="6380" w:type="dxa"/>
          </w:tcPr>
          <w:p w14:paraId="72F118F6" w14:textId="66828872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EXTRA ACTIVITY (OBLIGATORY)</w:t>
            </w:r>
          </w:p>
        </w:tc>
        <w:tc>
          <w:tcPr>
            <w:tcW w:w="4111" w:type="dxa"/>
          </w:tcPr>
          <w:p w14:paraId="26578B88" w14:textId="214EEFFF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</w:tr>
      <w:tr w:rsidR="0030342C" w:rsidRPr="00FE195F" w14:paraId="2F3DA5CC" w14:textId="77777777" w:rsidTr="00E452BA">
        <w:tc>
          <w:tcPr>
            <w:tcW w:w="6380" w:type="dxa"/>
            <w:vMerge w:val="restart"/>
          </w:tcPr>
          <w:p w14:paraId="4A637E0D" w14:textId="205E2234" w:rsidR="0030342C" w:rsidRDefault="0030342C" w:rsidP="007C0C7D">
            <w:pPr>
              <w:jc w:val="right"/>
              <w:rPr>
                <w:b/>
                <w:sz w:val="24"/>
                <w:szCs w:val="24"/>
              </w:rPr>
            </w:pPr>
            <w:r w:rsidRPr="00FE195F">
              <w:rPr>
                <w:b/>
                <w:sz w:val="24"/>
                <w:szCs w:val="24"/>
              </w:rPr>
              <w:t xml:space="preserve">LIST OF </w:t>
            </w:r>
            <w:r w:rsidR="00E452BA">
              <w:rPr>
                <w:b/>
                <w:sz w:val="24"/>
                <w:szCs w:val="24"/>
              </w:rPr>
              <w:t>TWO</w:t>
            </w:r>
            <w:r w:rsidRPr="00FE195F">
              <w:rPr>
                <w:b/>
                <w:sz w:val="24"/>
                <w:szCs w:val="24"/>
              </w:rPr>
              <w:t xml:space="preserve"> COURSES</w:t>
            </w:r>
            <w:r>
              <w:rPr>
                <w:b/>
                <w:sz w:val="24"/>
                <w:szCs w:val="24"/>
              </w:rPr>
              <w:t xml:space="preserve"> TO BE CHOSEN AMONG ELECTIVES AND COMPLIMENTARY ACTIVITIES</w:t>
            </w:r>
          </w:p>
          <w:p w14:paraId="51109CE0" w14:textId="7F9FD4E3" w:rsidR="0030342C" w:rsidRPr="00FE195F" w:rsidRDefault="0030342C" w:rsidP="00E31CB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5F2C93" w14:textId="2AC6D87D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0342C" w:rsidRPr="00FE195F" w14:paraId="50BD27D7" w14:textId="77777777" w:rsidTr="008205C2">
        <w:trPr>
          <w:trHeight w:val="456"/>
        </w:trPr>
        <w:tc>
          <w:tcPr>
            <w:tcW w:w="6380" w:type="dxa"/>
            <w:vMerge/>
          </w:tcPr>
          <w:p w14:paraId="6B0E44E5" w14:textId="77777777" w:rsidR="0030342C" w:rsidRPr="00FE195F" w:rsidRDefault="0030342C" w:rsidP="0030342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D75F177" w14:textId="6103D49F" w:rsidR="0030342C" w:rsidRPr="00FE195F" w:rsidRDefault="0030342C" w:rsidP="0030342C">
            <w:pPr>
              <w:rPr>
                <w:sz w:val="24"/>
                <w:szCs w:val="24"/>
              </w:rPr>
            </w:pPr>
            <w:r w:rsidRPr="00FE195F">
              <w:rPr>
                <w:sz w:val="24"/>
                <w:szCs w:val="24"/>
              </w:rPr>
              <w:t>2.</w:t>
            </w:r>
          </w:p>
        </w:tc>
      </w:tr>
      <w:tr w:rsidR="00F7032A" w:rsidRPr="00FE195F" w14:paraId="772E1E03" w14:textId="77777777" w:rsidTr="00E452BA">
        <w:tc>
          <w:tcPr>
            <w:tcW w:w="6380" w:type="dxa"/>
          </w:tcPr>
          <w:p w14:paraId="0B677635" w14:textId="77777777" w:rsidR="00E452BA" w:rsidRDefault="00F7032A" w:rsidP="00E452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DELIBERATION OF APPROVAL FROM </w:t>
            </w:r>
          </w:p>
          <w:p w14:paraId="45CABC54" w14:textId="6684B02C" w:rsidR="00F7032A" w:rsidRPr="00FE195F" w:rsidRDefault="00F7032A" w:rsidP="00E452B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MSC </w:t>
            </w:r>
            <w:r w:rsidR="00E452BA">
              <w:rPr>
                <w:b/>
                <w:sz w:val="24"/>
                <w:szCs w:val="24"/>
              </w:rPr>
              <w:t>EEBL</w:t>
            </w:r>
            <w:r>
              <w:rPr>
                <w:b/>
                <w:sz w:val="24"/>
                <w:szCs w:val="24"/>
              </w:rPr>
              <w:t xml:space="preserve"> ACADEMIC BOARD</w:t>
            </w:r>
          </w:p>
        </w:tc>
        <w:tc>
          <w:tcPr>
            <w:tcW w:w="4111" w:type="dxa"/>
          </w:tcPr>
          <w:p w14:paraId="0DA7BDEE" w14:textId="77777777" w:rsidR="00F7032A" w:rsidRDefault="00F7032A" w:rsidP="00F7032A">
            <w:pPr>
              <w:rPr>
                <w:sz w:val="24"/>
                <w:szCs w:val="24"/>
              </w:rPr>
            </w:pPr>
          </w:p>
        </w:tc>
      </w:tr>
    </w:tbl>
    <w:p w14:paraId="10955A22" w14:textId="2B73212B" w:rsidR="00D72BEC" w:rsidRDefault="00D72BEC" w:rsidP="00D72BEC">
      <w:pPr>
        <w:ind w:left="-426"/>
        <w:jc w:val="both"/>
      </w:pPr>
      <w:r>
        <w:t xml:space="preserve">Students enrolling in MSc </w:t>
      </w:r>
      <w:r w:rsidR="00E452BA">
        <w:t>EEBL</w:t>
      </w:r>
      <w:r>
        <w:t xml:space="preserve"> for the first time should use th</w:t>
      </w:r>
      <w:r w:rsidR="00564D08">
        <w:t>is form</w:t>
      </w:r>
      <w:r>
        <w:t xml:space="preserve"> to </w:t>
      </w:r>
      <w:r w:rsidR="0030342C" w:rsidRPr="00F7032A">
        <w:rPr>
          <w:b/>
        </w:rPr>
        <w:t>submit</w:t>
      </w:r>
      <w:r w:rsidRPr="00F7032A">
        <w:rPr>
          <w:b/>
        </w:rPr>
        <w:t xml:space="preserve"> their </w:t>
      </w:r>
      <w:r w:rsidR="0030342C" w:rsidRPr="00F7032A">
        <w:rPr>
          <w:b/>
        </w:rPr>
        <w:t>proposed</w:t>
      </w:r>
      <w:r w:rsidRPr="00F7032A">
        <w:rPr>
          <w:b/>
        </w:rPr>
        <w:t xml:space="preserve"> study plan by </w:t>
      </w:r>
      <w:r w:rsidR="006126BF">
        <w:rPr>
          <w:b/>
        </w:rPr>
        <w:t>25</w:t>
      </w:r>
      <w:r w:rsidRPr="00F7032A">
        <w:rPr>
          <w:b/>
        </w:rPr>
        <w:t xml:space="preserve"> November</w:t>
      </w:r>
      <w:r w:rsidR="007C5C3F">
        <w:rPr>
          <w:b/>
        </w:rPr>
        <w:t xml:space="preserve"> 2025</w:t>
      </w:r>
      <w:r>
        <w:t xml:space="preserve"> to </w:t>
      </w:r>
      <w:hyperlink r:id="rId6" w:history="1">
        <w:r w:rsidR="00E452BA" w:rsidRPr="00484D4B">
          <w:rPr>
            <w:rStyle w:val="Hyperlink"/>
            <w:color w:val="498CF1" w:themeColor="background2" w:themeShade="BF"/>
          </w:rPr>
          <w:t>msc@eebl.uniroma2.it</w:t>
        </w:r>
      </w:hyperlink>
      <w:r w:rsidR="00E452BA" w:rsidRPr="00E452BA">
        <w:rPr>
          <w:rStyle w:val="Hyperlink"/>
          <w:color w:val="498CF1" w:themeColor="background2" w:themeShade="BF"/>
          <w:u w:val="none"/>
        </w:rPr>
        <w:t xml:space="preserve"> .</w:t>
      </w:r>
    </w:p>
    <w:p w14:paraId="03166438" w14:textId="5C205933" w:rsidR="00D72BEC" w:rsidRDefault="00D72BEC" w:rsidP="00D72BEC">
      <w:pPr>
        <w:ind w:left="-426"/>
        <w:jc w:val="both"/>
      </w:pPr>
      <w:r>
        <w:t xml:space="preserve">Students may use the </w:t>
      </w:r>
      <w:r w:rsidR="00E452BA">
        <w:t>pre-approved electives indicated</w:t>
      </w:r>
      <w:r w:rsidR="008A497F">
        <w:t xml:space="preserve"> on the MSc </w:t>
      </w:r>
      <w:r w:rsidR="00E452BA">
        <w:t>EEBL</w:t>
      </w:r>
      <w:r w:rsidR="008A497F">
        <w:t xml:space="preserve"> website </w:t>
      </w:r>
      <w:r>
        <w:t xml:space="preserve">to prepare their study plan proposal, </w:t>
      </w:r>
      <w:r w:rsidR="00564D08">
        <w:t>or students may</w:t>
      </w:r>
      <w:r>
        <w:t xml:space="preserve"> choose from other courses offered in English</w:t>
      </w:r>
      <w:r w:rsidR="004F4DC7">
        <w:t>,</w:t>
      </w:r>
      <w:r>
        <w:t xml:space="preserve"> which are taught at </w:t>
      </w:r>
      <w:r w:rsidR="00564D08">
        <w:t>Tor Vergata</w:t>
      </w:r>
      <w:r>
        <w:t xml:space="preserve"> at the Master of Science level</w:t>
      </w:r>
      <w:r w:rsidR="004F4DC7">
        <w:t>,</w:t>
      </w:r>
      <w:r>
        <w:t xml:space="preserve"> </w:t>
      </w:r>
      <w:r w:rsidR="008A497F">
        <w:t>that</w:t>
      </w:r>
      <w:r w:rsidR="00564D08">
        <w:t xml:space="preserve"> </w:t>
      </w:r>
      <w:r>
        <w:t xml:space="preserve">are coherent with the </w:t>
      </w:r>
      <w:r w:rsidR="00564D08">
        <w:t xml:space="preserve">MSc </w:t>
      </w:r>
      <w:r w:rsidR="00E452BA">
        <w:t>EEBL</w:t>
      </w:r>
      <w:r w:rsidR="00564D08">
        <w:t xml:space="preserve"> </w:t>
      </w:r>
      <w:r>
        <w:t>Academic Program.</w:t>
      </w:r>
    </w:p>
    <w:p w14:paraId="23F1A962" w14:textId="4837CB42" w:rsidR="00FF3499" w:rsidRDefault="00D72BEC" w:rsidP="00E801CF">
      <w:pPr>
        <w:ind w:left="-426"/>
        <w:jc w:val="both"/>
      </w:pPr>
      <w:r>
        <w:t xml:space="preserve">Please note that the study plan is subject to formal approval by the MSc </w:t>
      </w:r>
      <w:r w:rsidR="00E452BA">
        <w:t>EEBL</w:t>
      </w:r>
      <w:r>
        <w:t xml:space="preserve"> Academic Board. Any successive changes must also be submitted for formal approval.</w:t>
      </w:r>
    </w:p>
    <w:sectPr w:rsidR="00FF3499" w:rsidSect="00D72BEC">
      <w:headerReference w:type="default" r:id="rId7"/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9F6E" w14:textId="77777777" w:rsidR="00877360" w:rsidRDefault="00877360" w:rsidP="00FE195F">
      <w:pPr>
        <w:spacing w:after="0" w:line="240" w:lineRule="auto"/>
      </w:pPr>
      <w:r>
        <w:separator/>
      </w:r>
    </w:p>
  </w:endnote>
  <w:endnote w:type="continuationSeparator" w:id="0">
    <w:p w14:paraId="05CB2F78" w14:textId="77777777" w:rsidR="00877360" w:rsidRDefault="00877360" w:rsidP="00FE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e">
    <w:altName w:val="Century Gothic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4538" w14:textId="16E11EDE" w:rsidR="00FE195F" w:rsidRPr="003E3C99" w:rsidRDefault="00FE195F" w:rsidP="00FE195F">
    <w:pPr>
      <w:pStyle w:val="Footer"/>
      <w:spacing w:line="360" w:lineRule="auto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______________________________________________________________________________</w:t>
    </w:r>
  </w:p>
  <w:p w14:paraId="0A55344A" w14:textId="77777777" w:rsidR="00FE195F" w:rsidRPr="003E3C99" w:rsidRDefault="00FE195F" w:rsidP="00FE195F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Via Columbia, 2 - 00133 Rome</w:t>
    </w:r>
  </w:p>
  <w:p w14:paraId="01C39E2E" w14:textId="22E1E261" w:rsidR="00FE195F" w:rsidRPr="001E425F" w:rsidRDefault="00E452BA" w:rsidP="00FE195F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</w:rPr>
    </w:pPr>
    <w:r>
      <w:rPr>
        <w:rFonts w:ascii="Circe" w:hAnsi="Circe" w:cs="Arial"/>
        <w:color w:val="262626" w:themeColor="text1" w:themeTint="D9"/>
        <w:sz w:val="20"/>
        <w:szCs w:val="20"/>
      </w:rPr>
      <w:t>M</w:t>
    </w:r>
    <w:r w:rsidR="00FE195F">
      <w:rPr>
        <w:rFonts w:ascii="Circe" w:hAnsi="Circe" w:cs="Arial"/>
        <w:color w:val="262626" w:themeColor="text1" w:themeTint="D9"/>
        <w:sz w:val="20"/>
        <w:szCs w:val="20"/>
      </w:rPr>
      <w:t xml:space="preserve">Sc </w:t>
    </w:r>
    <w:r>
      <w:rPr>
        <w:rFonts w:ascii="Circe" w:hAnsi="Circe" w:cs="Arial"/>
        <w:color w:val="262626" w:themeColor="text1" w:themeTint="D9"/>
        <w:sz w:val="20"/>
        <w:szCs w:val="20"/>
      </w:rPr>
      <w:t>EEBL Program</w:t>
    </w:r>
    <w:r w:rsidR="00FE195F">
      <w:rPr>
        <w:rFonts w:ascii="Circe" w:hAnsi="Circe" w:cs="Arial"/>
        <w:color w:val="262626" w:themeColor="text1" w:themeTint="D9"/>
        <w:sz w:val="20"/>
        <w:szCs w:val="20"/>
      </w:rPr>
      <w:t xml:space="preserve"> Office </w:t>
    </w:r>
    <w:r w:rsidR="00FE195F" w:rsidRPr="003E3C99">
      <w:rPr>
        <w:rFonts w:ascii="Circe" w:hAnsi="Circe" w:cs="Arial"/>
        <w:color w:val="262626" w:themeColor="text1" w:themeTint="D9"/>
        <w:sz w:val="20"/>
        <w:szCs w:val="20"/>
      </w:rPr>
      <w:t>Phone</w:t>
    </w:r>
    <w:r w:rsidR="00E72945">
      <w:rPr>
        <w:rFonts w:ascii="Circe" w:hAnsi="Circe" w:cs="Arial"/>
        <w:color w:val="262626" w:themeColor="text1" w:themeTint="D9"/>
        <w:sz w:val="20"/>
        <w:szCs w:val="20"/>
      </w:rPr>
      <w:t>: 06/7259.5744</w:t>
    </w:r>
  </w:p>
  <w:p w14:paraId="6CCF7C0F" w14:textId="37B330D4" w:rsidR="00FE195F" w:rsidRPr="00FE195F" w:rsidRDefault="00FE195F" w:rsidP="00FE195F">
    <w:pPr>
      <w:pStyle w:val="Footer"/>
      <w:jc w:val="center"/>
      <w:rPr>
        <w:rFonts w:ascii="Circe" w:hAnsi="Circe" w:cs="Arial"/>
        <w:color w:val="262626" w:themeColor="text1" w:themeTint="D9"/>
        <w:sz w:val="20"/>
        <w:szCs w:val="20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 xml:space="preserve">Email address: </w:t>
    </w:r>
    <w:hyperlink r:id="rId1" w:history="1">
      <w:r w:rsidR="00E452BA" w:rsidRPr="00E452BA">
        <w:rPr>
          <w:rFonts w:ascii="Circe" w:hAnsi="Circe" w:cs="Arial"/>
          <w:color w:val="262626" w:themeColor="text1" w:themeTint="D9"/>
          <w:sz w:val="20"/>
          <w:szCs w:val="20"/>
        </w:rPr>
        <w:t>mscs@eebl.uniroma2.it</w:t>
      </w:r>
    </w:hyperlink>
    <w:r w:rsidR="00E452BA" w:rsidRPr="00E452BA">
      <w:rPr>
        <w:rFonts w:ascii="Circe" w:hAnsi="Circe" w:cs="Arial"/>
        <w:color w:val="262626" w:themeColor="text1" w:themeTint="D9"/>
        <w:sz w:val="20"/>
        <w:szCs w:val="20"/>
      </w:rPr>
      <w:t xml:space="preserve"> </w:t>
    </w:r>
    <w:r w:rsidRPr="00E452BA">
      <w:rPr>
        <w:rFonts w:ascii="Circe" w:hAnsi="Circe" w:cs="Arial"/>
        <w:color w:val="262626" w:themeColor="text1" w:themeTint="D9"/>
        <w:sz w:val="20"/>
        <w:szCs w:val="20"/>
      </w:rPr>
      <w:cr/>
    </w:r>
    <w:r w:rsidR="00E452BA" w:rsidRPr="00E452BA">
      <w:rPr>
        <w:rFonts w:ascii="Circe" w:hAnsi="Circe" w:cs="Arial"/>
        <w:color w:val="262626" w:themeColor="text1" w:themeTint="D9"/>
        <w:sz w:val="20"/>
        <w:szCs w:val="20"/>
      </w:rPr>
      <w:t>https://economia.uniroma2.it/master-science/eebl</w:t>
    </w:r>
    <w:r w:rsidR="00E452BA">
      <w:rPr>
        <w:rFonts w:ascii="Circe" w:hAnsi="Circe" w:cs="Arial"/>
        <w:color w:val="262626" w:themeColor="text1" w:themeTint="D9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35DC" w14:textId="77777777" w:rsidR="00877360" w:rsidRDefault="00877360" w:rsidP="00FE195F">
      <w:pPr>
        <w:spacing w:after="0" w:line="240" w:lineRule="auto"/>
      </w:pPr>
      <w:r>
        <w:separator/>
      </w:r>
    </w:p>
  </w:footnote>
  <w:footnote w:type="continuationSeparator" w:id="0">
    <w:p w14:paraId="49966922" w14:textId="77777777" w:rsidR="00877360" w:rsidRDefault="00877360" w:rsidP="00FE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FE195F" w:rsidRPr="006D79B5" w14:paraId="2DFAEBAE" w14:textId="77777777" w:rsidTr="00CD6D26">
      <w:trPr>
        <w:trHeight w:val="1106"/>
        <w:jc w:val="center"/>
      </w:trPr>
      <w:tc>
        <w:tcPr>
          <w:tcW w:w="5154" w:type="dxa"/>
          <w:vAlign w:val="center"/>
        </w:tcPr>
        <w:p w14:paraId="4F671D31" w14:textId="77777777" w:rsidR="00FE195F" w:rsidRDefault="00FE195F" w:rsidP="00FE195F">
          <w:pPr>
            <w:pStyle w:val="Header"/>
            <w:tabs>
              <w:tab w:val="left" w:pos="4335"/>
            </w:tabs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E304F5A" wp14:editId="6E60DAB4">
                <wp:extent cx="3022576" cy="819150"/>
                <wp:effectExtent l="0" t="0" r="6985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098" cy="822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41D7AE47" w14:textId="77777777" w:rsidR="00FE195F" w:rsidRDefault="00FE195F" w:rsidP="00FE195F">
          <w:pPr>
            <w:pStyle w:val="Header"/>
            <w:tabs>
              <w:tab w:val="left" w:pos="4335"/>
            </w:tabs>
          </w:pPr>
          <w:r>
            <w:rPr>
              <w:noProof/>
              <w:lang w:val="en-US"/>
            </w:rPr>
            <w:drawing>
              <wp:inline distT="0" distB="0" distL="0" distR="0" wp14:anchorId="14B30F46" wp14:editId="345DA8DA">
                <wp:extent cx="9525" cy="666750"/>
                <wp:effectExtent l="0" t="0" r="9525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0A45AC98" w14:textId="77777777" w:rsidR="00FE195F" w:rsidRPr="00CC50D6" w:rsidRDefault="00FE195F" w:rsidP="00FE195F">
          <w:pPr>
            <w:pStyle w:val="Header"/>
            <w:tabs>
              <w:tab w:val="left" w:pos="4335"/>
            </w:tabs>
            <w:spacing w:before="240" w:line="276" w:lineRule="auto"/>
            <w:rPr>
              <w:rFonts w:ascii="Circe" w:hAnsi="Circe"/>
              <w:sz w:val="20"/>
            </w:rPr>
          </w:pPr>
          <w:r w:rsidRPr="00421825">
            <w:rPr>
              <w:rFonts w:ascii="Circe" w:hAnsi="Circe"/>
            </w:rPr>
            <w:t>School of Economics</w:t>
          </w:r>
          <w:r w:rsidRPr="00CC50D6">
            <w:rPr>
              <w:rFonts w:ascii="Circe" w:hAnsi="Circe"/>
            </w:rPr>
            <w:br/>
            <w:t>Department of Economics and Finance</w:t>
          </w:r>
          <w:r w:rsidRPr="00CC50D6">
            <w:rPr>
              <w:rFonts w:ascii="Circe" w:hAnsi="Circe"/>
            </w:rPr>
            <w:br/>
          </w:r>
        </w:p>
      </w:tc>
    </w:tr>
  </w:tbl>
  <w:p w14:paraId="15A14CD1" w14:textId="38CBD456" w:rsidR="00FE195F" w:rsidRPr="00FE195F" w:rsidRDefault="00FE195F">
    <w:pPr>
      <w:pStyle w:val="Header"/>
      <w:rPr>
        <w:lang w:val="it-IT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6C"/>
    <w:rsid w:val="000360CF"/>
    <w:rsid w:val="00041EE2"/>
    <w:rsid w:val="00081904"/>
    <w:rsid w:val="000A4B30"/>
    <w:rsid w:val="000A5B8C"/>
    <w:rsid w:val="000B5196"/>
    <w:rsid w:val="000C4B6C"/>
    <w:rsid w:val="000C55D0"/>
    <w:rsid w:val="00124C94"/>
    <w:rsid w:val="0013712F"/>
    <w:rsid w:val="00181C1B"/>
    <w:rsid w:val="001A1D9D"/>
    <w:rsid w:val="001F3250"/>
    <w:rsid w:val="002171D4"/>
    <w:rsid w:val="00287228"/>
    <w:rsid w:val="002D3F14"/>
    <w:rsid w:val="002E49FE"/>
    <w:rsid w:val="002E50EB"/>
    <w:rsid w:val="002F6E58"/>
    <w:rsid w:val="0030342C"/>
    <w:rsid w:val="00323F07"/>
    <w:rsid w:val="00376CB2"/>
    <w:rsid w:val="004328DF"/>
    <w:rsid w:val="00450292"/>
    <w:rsid w:val="00456C37"/>
    <w:rsid w:val="0045744D"/>
    <w:rsid w:val="0046123D"/>
    <w:rsid w:val="00485A8E"/>
    <w:rsid w:val="004B672A"/>
    <w:rsid w:val="004B7CEB"/>
    <w:rsid w:val="004E3B1B"/>
    <w:rsid w:val="004E5843"/>
    <w:rsid w:val="004F4DC7"/>
    <w:rsid w:val="005200BA"/>
    <w:rsid w:val="00561F60"/>
    <w:rsid w:val="00564D08"/>
    <w:rsid w:val="005B79A9"/>
    <w:rsid w:val="006126BF"/>
    <w:rsid w:val="0062271B"/>
    <w:rsid w:val="00712FE1"/>
    <w:rsid w:val="00715FA8"/>
    <w:rsid w:val="00726D8D"/>
    <w:rsid w:val="00763446"/>
    <w:rsid w:val="0078559D"/>
    <w:rsid w:val="00793E7A"/>
    <w:rsid w:val="007B0C61"/>
    <w:rsid w:val="007C0C7D"/>
    <w:rsid w:val="007C5C3F"/>
    <w:rsid w:val="008077FB"/>
    <w:rsid w:val="008205C2"/>
    <w:rsid w:val="00842FB5"/>
    <w:rsid w:val="00843842"/>
    <w:rsid w:val="008648EA"/>
    <w:rsid w:val="00877360"/>
    <w:rsid w:val="008A497F"/>
    <w:rsid w:val="00916307"/>
    <w:rsid w:val="009B3645"/>
    <w:rsid w:val="00A92792"/>
    <w:rsid w:val="00AA5FCB"/>
    <w:rsid w:val="00AC6CCE"/>
    <w:rsid w:val="00B07830"/>
    <w:rsid w:val="00B52A38"/>
    <w:rsid w:val="00B6717A"/>
    <w:rsid w:val="00B7265F"/>
    <w:rsid w:val="00C92008"/>
    <w:rsid w:val="00CA7970"/>
    <w:rsid w:val="00CE59B5"/>
    <w:rsid w:val="00CF15D5"/>
    <w:rsid w:val="00D15C9E"/>
    <w:rsid w:val="00D21D93"/>
    <w:rsid w:val="00D72BEC"/>
    <w:rsid w:val="00E31CBB"/>
    <w:rsid w:val="00E452BA"/>
    <w:rsid w:val="00E503D3"/>
    <w:rsid w:val="00E72945"/>
    <w:rsid w:val="00E801CF"/>
    <w:rsid w:val="00E81FFA"/>
    <w:rsid w:val="00ED0242"/>
    <w:rsid w:val="00F316AA"/>
    <w:rsid w:val="00F43E3F"/>
    <w:rsid w:val="00F5249A"/>
    <w:rsid w:val="00F7032A"/>
    <w:rsid w:val="00F80512"/>
    <w:rsid w:val="00FE195F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176B6E"/>
  <w15:chartTrackingRefBased/>
  <w15:docId w15:val="{39ACC23E-C648-4E78-9430-99780F7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65F"/>
    <w:rPr>
      <w:color w:val="9454C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9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95F"/>
  </w:style>
  <w:style w:type="paragraph" w:styleId="Footer">
    <w:name w:val="footer"/>
    <w:basedOn w:val="Normal"/>
    <w:link w:val="FooterChar"/>
    <w:uiPriority w:val="99"/>
    <w:unhideWhenUsed/>
    <w:rsid w:val="00FE195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c@eebl.uniroma2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cs@eebl.uniroma2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Susie White</cp:lastModifiedBy>
  <cp:revision>5</cp:revision>
  <dcterms:created xsi:type="dcterms:W3CDTF">2024-02-19T14:20:00Z</dcterms:created>
  <dcterms:modified xsi:type="dcterms:W3CDTF">2025-10-02T10:09:00Z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7707f415-df3e-4224-a9b8-36a86e24e358</vt:lpwstr>
  </property>
</Properties>
</file>